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建筑业是生产生产资料的物资生产部门。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ascii="Segoe UI" w:hAnsi="Segoe UI" w:eastAsia="Segoe UI" w:cs="Segoe UI"/>
          <w:i w:val="0"/>
          <w:caps w:val="0"/>
          <w:color w:val="2F6473"/>
          <w:spacing w:val="0"/>
          <w:sz w:val="22"/>
          <w:szCs w:val="22"/>
          <w:shd w:val="clear" w:fill="DEF2F8"/>
        </w:rPr>
        <w:t>名义利率一般是指年利率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rFonts w:hint="default" w:ascii="Segoe UI" w:hAnsi="Segoe UI" w:eastAsia="Segoe UI" w:cs="Segoe UI"/>
          <w:i w:val="0"/>
          <w:caps w:val="0"/>
          <w:color w:val="2F6473"/>
          <w:spacing w:val="0"/>
          <w:sz w:val="22"/>
          <w:szCs w:val="22"/>
          <w:shd w:val="clear" w:fill="DEF2F8"/>
        </w:rPr>
        <w:t>国民经济评价按照效率优先的原则，从国家整体利益出发，考察项目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rPr>
          <w:rFonts w:hint="default" w:ascii="Segoe UI" w:hAnsi="Segoe UI" w:eastAsia="Segoe UI" w:cs="Segoe UI"/>
          <w:i w:val="0"/>
          <w:caps w:val="0"/>
          <w:color w:val="2F6473"/>
          <w:spacing w:val="0"/>
          <w:sz w:val="22"/>
          <w:szCs w:val="22"/>
          <w:shd w:val="clear" w:fill="DEF2F8"/>
        </w:rPr>
      </w:pPr>
      <w:r>
        <w:rPr>
          <w:rFonts w:hint="default" w:ascii="Segoe UI" w:hAnsi="Segoe UI" w:eastAsia="Segoe UI" w:cs="Segoe UI"/>
          <w:i w:val="0"/>
          <w:caps w:val="0"/>
          <w:color w:val="2F6473"/>
          <w:spacing w:val="0"/>
          <w:sz w:val="22"/>
          <w:szCs w:val="22"/>
          <w:shd w:val="clear" w:fill="DEF2F8"/>
        </w:rPr>
        <w:t>进行资金等值计算中使用的反映资金时间价值的参数称为基准折现率 .</w:t>
      </w:r>
    </w:p>
    <w:p>
      <w:pPr>
        <w:pStyle w:val="4"/>
        <w:keepNext w:val="0"/>
        <w:keepLines w:val="0"/>
        <w:widowControl/>
        <w:suppressLineNumbers w:val="0"/>
        <w:spacing w:before="0" w:beforeAutospacing="0" w:after="800" w:afterAutospacing="0"/>
        <w:ind w:left="1786" w:right="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建设项目可行性报告不能作为向银行申请贷款的依据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可行性研究报告可以作为建设招标的依据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价值系数等于1，说明该分项工程重要性与其费用相适应，是比较合理的。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预测具有科学性、近似性和局部性的特点。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资金来源于运用表用来评价项目的融资能力。</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采用双倍余额递减法计算固定资产折旧时，折旧金额逐年增加。</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盈亏平衡分析的目的就是找出 临界值，判断投资方案对不确定因素变化的承受能力，为决策提供依据。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静态评价指标主要用于技术经济数据不完备和不精确的项目初选阶段；动态评价指标则用于项目最后决策前的可行性研究阶段。</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可行性研究是（     ）的重要工作内容。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正确答案是：建设前期</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下列属于国民经济评价中经济参数的是（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正确答案是：影子价格</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当一个常规项目的净现值FNPV大于零时，内部收益率FIRR与基准折现W的关系为（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正确答案是：FIRR&gt; i</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以下资产中属于流动资产的是（  A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正确答案是：存货</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某人连续5年每年末存入银行20万元，银行年利率6%，按年复利计算，第5年年末一次性收回本金和利息，则到期可以回收的金额为（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正确答案是：112.74</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某企业现在对外投资200万元，5年后一次性收回本金和利息，若年基准收益率为i，已知：（P /F，i，5）=0.6806,（A / P，i，5）=5.8666,（F / A，i，5）=0.2505则总计可以回收()万元。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正确答案是：293.86</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现在的100元和5年后的248元两笔资金在第2年末价值相等，若利率不变，则这两笔资金在第3年末的价值（）</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正确答案是：两者相等</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已知年利率12%,每月复利计息一次.则季实际利率为()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正确答案是：3.03%</w:t>
      </w:r>
    </w:p>
    <w:p>
      <w:pPr>
        <w:pStyle w:val="4"/>
        <w:keepNext w:val="0"/>
        <w:keepLines w:val="0"/>
        <w:widowControl/>
        <w:suppressLineNumbers w:val="0"/>
        <w:spacing w:before="0" w:beforeAutospacing="0" w:after="800" w:afterAutospacing="0"/>
        <w:ind w:left="1786" w:right="0"/>
        <w:jc w:val="left"/>
        <w:rPr>
          <w:rFonts w:hint="default" w:ascii="Segoe UI" w:hAnsi="Segoe UI" w:eastAsia="Segoe UI" w:cs="Segoe UI"/>
          <w:i w:val="0"/>
          <w:caps w:val="0"/>
          <w:color w:val="2F6473"/>
          <w:spacing w:val="0"/>
          <w:sz w:val="22"/>
          <w:szCs w:val="22"/>
          <w:shd w:val="clear" w:fill="DEF2F8"/>
        </w:rPr>
      </w:pPr>
      <w:r>
        <w:rPr>
          <w:rFonts w:hint="default" w:ascii="Segoe UI" w:hAnsi="Segoe UI" w:eastAsia="Segoe UI" w:cs="Segoe UI"/>
          <w:i w:val="0"/>
          <w:caps w:val="0"/>
          <w:color w:val="2F6473"/>
          <w:spacing w:val="0"/>
          <w:sz w:val="22"/>
          <w:szCs w:val="22"/>
          <w:shd w:val="clear" w:fill="DEF2F8"/>
        </w:rPr>
        <w:t>对具有常规现金流量的投资方案，其财务净现值是关于折现率的（     ）函数</w:t>
      </w:r>
    </w:p>
    <w:p>
      <w:pPr>
        <w:pStyle w:val="4"/>
        <w:keepNext w:val="0"/>
        <w:keepLines w:val="0"/>
        <w:widowControl/>
        <w:suppressLineNumbers w:val="0"/>
        <w:spacing w:before="0" w:beforeAutospacing="0" w:after="800" w:afterAutospacing="0"/>
        <w:ind w:left="1786" w:right="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正确答案是：递减</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使投资项目财务净现值为零的折现率称为(     )</w:t>
      </w:r>
    </w:p>
    <w:p>
      <w:pPr>
        <w:keepNext w:val="0"/>
        <w:keepLines w:val="0"/>
        <w:widowControl/>
        <w:suppressLineNumbers w:val="0"/>
        <w:shd w:val="clear" w:fill="FCEFDC"/>
        <w:spacing w:before="0" w:beforeAutospacing="0" w:after="486" w:afterAutospacing="0"/>
        <w:ind w:right="0" w:firstLine="1575" w:firstLineChars="70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正确答案是：财务内部收益</w:t>
      </w:r>
    </w:p>
    <w:p>
      <w:pPr>
        <w:pStyle w:val="4"/>
        <w:keepNext w:val="0"/>
        <w:keepLines w:val="0"/>
        <w:widowControl/>
        <w:suppressLineNumbers w:val="0"/>
        <w:spacing w:before="0" w:beforeAutospacing="0" w:after="800" w:afterAutospacing="0"/>
        <w:ind w:left="1786" w:right="0"/>
        <w:jc w:val="left"/>
        <w:rPr>
          <w:rFonts w:hint="default" w:ascii="Segoe UI" w:hAnsi="Segoe UI" w:eastAsia="Segoe UI" w:cs="Segoe UI"/>
          <w:i w:val="0"/>
          <w:caps w:val="0"/>
          <w:color w:val="2F6473"/>
          <w:spacing w:val="0"/>
          <w:sz w:val="22"/>
          <w:szCs w:val="22"/>
          <w:shd w:val="clear" w:fill="DEF2F8"/>
        </w:rPr>
      </w:pPr>
      <w:r>
        <w:rPr>
          <w:rFonts w:hint="default" w:ascii="Segoe UI" w:hAnsi="Segoe UI" w:eastAsia="Segoe UI" w:cs="Segoe UI"/>
          <w:i w:val="0"/>
          <w:caps w:val="0"/>
          <w:color w:val="2F6473"/>
          <w:spacing w:val="0"/>
          <w:sz w:val="22"/>
          <w:szCs w:val="22"/>
          <w:shd w:val="clear" w:fill="DEF2F8"/>
        </w:rPr>
        <w:t> 某常规投资方案,FNPV(i1=14%)=160,FNPV(i2=16%)=﹣90,则FIRR的取值范围为(      )</w:t>
      </w:r>
    </w:p>
    <w:p>
      <w:pPr>
        <w:pStyle w:val="4"/>
        <w:keepNext w:val="0"/>
        <w:keepLines w:val="0"/>
        <w:widowControl/>
        <w:suppressLineNumbers w:val="0"/>
        <w:spacing w:before="0" w:beforeAutospacing="0" w:after="800" w:afterAutospacing="0"/>
        <w:ind w:left="1786" w:right="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正确答案是：15%～16%</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利息备付率表示使用项目(     )偿付利息的保证倍率</w:t>
      </w:r>
    </w:p>
    <w:p>
      <w:pPr>
        <w:keepNext w:val="0"/>
        <w:keepLines w:val="0"/>
        <w:widowControl/>
        <w:suppressLineNumbers w:val="0"/>
        <w:shd w:val="clear" w:fill="FCEFDC"/>
        <w:spacing w:before="0" w:beforeAutospacing="0" w:after="486" w:afterAutospacing="0"/>
        <w:ind w:right="0" w:firstLine="1350" w:firstLineChars="60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正确答案是：支付利息和税金前的利润</w:t>
      </w:r>
    </w:p>
    <w:p>
      <w:pPr>
        <w:pStyle w:val="4"/>
        <w:keepNext w:val="0"/>
        <w:keepLines w:val="0"/>
        <w:widowControl/>
        <w:suppressLineNumbers w:val="0"/>
        <w:spacing w:before="0" w:beforeAutospacing="0" w:after="800" w:afterAutospacing="0"/>
        <w:ind w:left="1786" w:right="0"/>
        <w:jc w:val="left"/>
        <w:rPr>
          <w:rFonts w:hint="default" w:ascii="Segoe UI" w:hAnsi="Segoe UI" w:eastAsia="Segoe UI" w:cs="Segoe UI"/>
          <w:i w:val="0"/>
          <w:caps w:val="0"/>
          <w:color w:val="2F6473"/>
          <w:spacing w:val="0"/>
          <w:sz w:val="22"/>
          <w:szCs w:val="22"/>
          <w:shd w:val="clear" w:fill="DEF2F8"/>
        </w:rPr>
      </w:pPr>
      <w:r>
        <w:rPr>
          <w:rFonts w:hint="default" w:ascii="Segoe UI" w:hAnsi="Segoe UI" w:eastAsia="Segoe UI" w:cs="Segoe UI"/>
          <w:i w:val="0"/>
          <w:caps w:val="0"/>
          <w:color w:val="2F6473"/>
          <w:spacing w:val="0"/>
          <w:sz w:val="22"/>
          <w:szCs w:val="22"/>
          <w:shd w:val="clear" w:fill="DEF2F8"/>
        </w:rPr>
        <w:t> 某生产性建设项目，折算到第1年年末的投资额为4800万元，第2年年末的净现金流量为1200万元，第3年年末为1500万元，自第4年年末开始皆为1600万元，直至第10年寿命期结束，则该建设项目的静态投资回收期为（）年</w:t>
      </w:r>
    </w:p>
    <w:p>
      <w:pPr>
        <w:pStyle w:val="4"/>
        <w:keepNext w:val="0"/>
        <w:keepLines w:val="0"/>
        <w:widowControl/>
        <w:suppressLineNumbers w:val="0"/>
        <w:spacing w:before="0" w:beforeAutospacing="0" w:after="800" w:afterAutospacing="0"/>
        <w:ind w:left="1786" w:right="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正确答案是：4.31</w:t>
      </w:r>
    </w:p>
    <w:p>
      <w:pPr>
        <w:pStyle w:val="4"/>
        <w:keepNext w:val="0"/>
        <w:keepLines w:val="0"/>
        <w:widowControl/>
        <w:suppressLineNumbers w:val="0"/>
        <w:spacing w:before="0" w:beforeAutospacing="0" w:after="800" w:afterAutospacing="0"/>
        <w:ind w:right="0"/>
        <w:jc w:val="left"/>
      </w:pPr>
      <w:r>
        <w:rPr>
          <w:rFonts w:ascii="Segoe UI" w:hAnsi="Segoe UI" w:eastAsia="Segoe UI" w:cs="Segoe UI"/>
          <w:i w:val="0"/>
          <w:caps w:val="0"/>
          <w:color w:val="2F6473"/>
          <w:spacing w:val="0"/>
          <w:sz w:val="22"/>
          <w:szCs w:val="22"/>
          <w:shd w:val="clear" w:fill="DEF2F8"/>
        </w:rPr>
        <w:t>工程建设程序一般经过项目选定、项目准备、项目评价、资金筹措、谈判签约、项目实施、项目总结等几个阶段。</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资金等值包括三个因素：资金额大小、资金发生的时间和利率。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可行性研究报告可以作为签订合同和协议的依据。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—个项目由意向变成投资建议的过程称为初步可行性研究。</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盈亏分析是对项目进行不确定性分析的方法之一。</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影子价格是指在社会处于某种最优市场状态下，能够反映社会劳动的消耗、资源稀缺程度和最终产品需求情况的价格。</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价值工程的核心是对研究对象进行成本分析。</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资金的时间价值是指资金在时间推移中的增值能力。</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技术方案是可行性研究的核心和关键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财务内部收益率是对项目进行静态评价的主要依据之一。</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工程建设的一般程序中，建设前期阶段不包括（   ）环节。</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正确答案是：编制施工招投标文件</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某银行贷款年利率15%，按月复利计息，其实际利率为（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正确答案是：16.08%</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建设项目可行性报告可以用作（    ）的依据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正确答案是：以上都是</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速动比率是着重反映项目何种能力的指标（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正确答案是：短期偿债能力</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加速折旧法分为（     ）两类</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正确答案是：双倍余额递减法和年数总和法</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在现行税收制度中，营业税从（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正确答案是：从产品销售收入中列支</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反映项目对国民经济净贡献绝对值指标是（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正确答案是：经济净现值</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某公司原打算采用石棉板用做防火材料，但经广泛的市场调查和材料分析试验后，决定用防火纸代替石棉板同样起到了防火效果，而且成本降低了50%。根据价值工程原理，这体现了提高价值的何种途径（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正确答案是：功能不变，成本降低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工程建设的一般程序中，（    ）环节属于建设准备阶段的内容。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正确答案是：施工招投标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项目可行性研究的核心是（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正确答案是：经济评价</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机会研究对项目所需的投资和生产费用的计算，误差允许在（     ）范围内。</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正确答案是：±30%</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以下何项为建设项目经济评价时财务分析的基本报表（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正确答案是：损益表</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在现行税收制度中，从产品销售收入中列支的税种是（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正确答案是：房产税、车船使用税、土地使用税、印花税等</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平均折旧法计算折旧时，其折旧额（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正确答案是：各年相等</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按照价值工程原理，“价值”是指（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正确答案是：功能与实现这个功能所耗费用的比值</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把未来时点发生的资金用资金时间价值的尺度折算成现在时点上资金数额的过程称为折现。</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市场调查时可行性研究的前提。</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现金流量的计算与常规会计的方法不同，其特点是既计算现金收支，也计算非现金收支。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资金来源与运用表用来评价项目的融资能力。</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价值系数小于1，说明该分项工程相对不重要，费用也不高，不应该作为价值分析的对象。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现金流量是指将投资项目视作一个开放系统时，流入流出该系统的现金活动。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财务评价主要包括盈利能力分析和清偿能力分析两部分内容。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企业使用的劳动资料按照价值的大小分为固定资产和低值易耗品。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价值工程的目的是以最低的总成本可靠的实现必要功能。</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决策的类型根据性质的不同，分为无风险型和风险型两种。</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按照工程建设的一般程序，施工招投标是（    ）阶段的工作任务。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正确答案是：施工准备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一般来说，在不确定性分析法中，只适用于项目的财务评价的是（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正确答案是：盈亏平衡分析</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把未来某一时间收支的资金额换算成现在时刻的资金额称为（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正确答案是：现值</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速动比率是着重反映项目何种能力的指标（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正确答案是：短期偿债能力</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用于财务分析的“基本财务报表”不包括（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正确答案是：流动资金估算表</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设备使用年限越长,每年所分摊的资产消耗成本()</w:t>
      </w:r>
    </w:p>
    <w:p>
      <w:pPr>
        <w:keepNext w:val="0"/>
        <w:keepLines w:val="0"/>
        <w:widowControl/>
        <w:suppressLineNumbers w:val="0"/>
        <w:shd w:val="clear" w:fill="FCEFDC"/>
        <w:spacing w:before="0" w:beforeAutospacing="0" w:after="486" w:afterAutospacing="0"/>
        <w:ind w:right="0" w:firstLine="1800" w:firstLineChars="80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正确答案是：越少,运行成本越多</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确定设备更新的依据是（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正确答案是：设备的经济寿命</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     ）是定量预测的一种方法。</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正确答案是：移动平均数法</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轻轨工程，原计划采用甲工艺进行施工，计划工期835天，后经价值工程优化，决定采用乙工艺代替甲工艺，达到了同样的施工质量，且工程成本未变，但工期提前了250天，同时减少业主贷款利息上千万元。根据价值工程原理，该提高建设项目价值的途径属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正确答案是：功能不变，成本降低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工程建设的一般程序中，建设前期阶段不包括（     ）环节。</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正确答案是：编制施工招投标文件</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按照工程建设的一般程序，可行性研究是（     ）阶段的工作任务。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正确答案是：建设前期</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若计息周期的月利息为0.5%，则其名义利率为（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正确答案是：6.0%</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下列关于内部收益率的表述中，不正确的是（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正确答案是：内部收益率是该项目能够达到的最大收益</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以下何项为建设项目经济评价时财务分析的基本报表（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正确答案是：损益表</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在现行税收制度中，消费税从（     ）中列支。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正确答案是：产品销售收入</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政府的债券投资可以看作是无风险投资。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只适用于财务评价的是盈亏平衡分析</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基准折现率不仅取决于 资金来源 的构成和未来的 投资机会 ，还要考虑 项目风险 和 通货膨胀 等因素的影响。</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企业常用的计算、提取折旧的方法有 年限平均法 、工作量（产量）法 和 加速折旧法 等。</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只要商品生产存在，资金就具有时间价值。</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价值工程中，产品的价值是指产品的功能与利润之比</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公司本打算采用甲工艺进行施工，但经广泛的市场调研和技术论证后，决定用乙工艺代替甲工艺，并达到了同样的施工质量，且成本降低了20%，根据价值工程原理，该公司提高价值采用的途径是。功能不变，成本升高</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我国价值工程的工作程序包括四个阶段，这四个阶段依次为准备、分析、创新、实施</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“工程经济学之父”是 格兰特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对于大型复杂的产品，应用价值工程的重点应放在（   ）。</w:t>
      </w:r>
    </w:p>
    <w:p>
      <w:pPr>
        <w:keepNext w:val="0"/>
        <w:keepLines w:val="0"/>
        <w:widowControl/>
        <w:suppressLineNumbers w:val="0"/>
        <w:shd w:val="clear" w:fill="FCEFDC"/>
        <w:spacing w:before="0" w:beforeAutospacing="0" w:after="486" w:afterAutospacing="0"/>
        <w:ind w:right="0" w:firstLine="1800" w:firstLineChars="80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正确答案是：产品研究设计阶段</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施工企业接受的海外侨胞的现金捐赠应列入企业的（）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正确答案是：资本公积</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在会计核算中，期间费用是指企业当期发生的（ ）的费用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正确答案是：应当直接计入当期损益</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下列关于敏感度系数和临界点的表述，不正确的是（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正确答案是：在一定的基准收益率下，临界点越低，说明改不确定性因素对项目效益指标影响越小</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投资项目财务分析工作包括：①根据项目性质和融资方式选择适宜的方法，②选取必要地基础数据进行财务效益和费用估算，③进行不确定性分析，④进行盈利能力分析、偿债能力分析和财务生存能力分析等；这些工作的正确顺序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正确答案是：①②④③</w:t>
      </w:r>
    </w:p>
    <w:p>
      <w:pPr>
        <w:keepNext w:val="0"/>
        <w:keepLines w:val="0"/>
        <w:widowControl/>
        <w:suppressLineNumbers w:val="0"/>
        <w:shd w:val="clear" w:fill="FCEFDC"/>
        <w:spacing w:before="0" w:beforeAutospacing="0" w:after="486" w:afterAutospacing="0"/>
        <w:ind w:left="1786" w:right="0" w:firstLine="0"/>
        <w:jc w:val="left"/>
      </w:pPr>
      <w:r>
        <w:rPr>
          <w:rFonts w:hint="default" w:ascii="Segoe UI" w:hAnsi="Segoe UI" w:eastAsia="Segoe UI" w:cs="Segoe UI"/>
          <w:i w:val="0"/>
          <w:caps w:val="0"/>
          <w:color w:val="2F6473"/>
          <w:spacing w:val="0"/>
          <w:sz w:val="22"/>
          <w:szCs w:val="22"/>
          <w:shd w:val="clear" w:fill="DEF2F8"/>
        </w:rPr>
        <w:t>对收入和费用的入账时间，不按照款项实际收到或支付的日期为基础，而以收入的权利和支出的义务是否属于本期为标准来确定它们的归属期，是（ ）的要求</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正确答案是：权责发生制原则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在会计核算的基本前提下，为会计工作确定了一个阶段性的时间范围的是（）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正确答案是：会计分期</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当两个方案的收益无法具体核算时，可以用（     ）计算，并加以比较。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正确答案是：年费用比较法</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某建设项目只有一个单项工程不编制建设项目总概算,则该单项工程的综合概算除了单位建筑工程概算,设备及安装工程概算外,还应包括(       )概算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正确答案是：工程建设其他费用</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不属于建设工程项目总投资中建设投资的是（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正确答案是：涨价预备费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以下哪种方式不属于直接融资方式（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正确答案是：从商业银行贷款</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用于建设项目偿债能力分析的指标是(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正确答案是：流动比率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单因素敏感性分析图中，影响因素直线斜率(     )，说明该因素越敏感。</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正确答案是：绝对值越大</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同一企业不同时期发生的相同或类似的交易或事项，应当采用一致的会计政策，不得随意变更。这属于（）</w:t>
      </w:r>
    </w:p>
    <w:p>
      <w:pPr>
        <w:keepNext w:val="0"/>
        <w:keepLines w:val="0"/>
        <w:widowControl/>
        <w:suppressLineNumbers w:val="0"/>
        <w:shd w:val="clear" w:fill="FCEFDC"/>
        <w:spacing w:before="0" w:beforeAutospacing="0" w:after="486" w:afterAutospacing="0"/>
        <w:ind w:right="0" w:firstLine="2250" w:firstLineChars="100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正确答案是：可比性原则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利息常常被视为资金的（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bookmarkStart w:id="0" w:name="_GoBack"/>
      <w:bookmarkEnd w:id="0"/>
      <w:r>
        <w:rPr>
          <w:rFonts w:hint="default" w:ascii="Segoe UI" w:hAnsi="Segoe UI" w:eastAsia="Segoe UI" w:cs="Segoe UI"/>
          <w:i w:val="0"/>
          <w:caps w:val="0"/>
          <w:color w:val="7D5A29"/>
          <w:spacing w:val="0"/>
          <w:kern w:val="0"/>
          <w:sz w:val="22"/>
          <w:szCs w:val="22"/>
          <w:shd w:val="clear" w:fill="FCEFDC"/>
          <w:lang w:val="en-US" w:eastAsia="zh-CN" w:bidi="ar"/>
        </w:rPr>
        <w:t>正确答案是：机会成本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05658"/>
    <w:rsid w:val="55C6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2020-11-27T06:09:44Z</dcterms:created>
  <dc:creator>Administrator</dc:creator>
  <cp:lastModifiedBy>Administrator</cp:lastModifiedBy>
  <dcterms:modified xsi:type="dcterms:W3CDTF">2020-11-27T06:36:01Z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