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861" w:rsidRDefault="007B2861">
      <w:pPr>
        <w:ind w:left="178" w:hangingChars="85" w:hanging="178"/>
        <w:jc w:val="left"/>
      </w:pPr>
    </w:p>
    <w:p w:rsidR="007B2861" w:rsidRDefault="007B2861">
      <w:pPr>
        <w:ind w:left="178" w:hangingChars="85" w:hanging="178"/>
        <w:jc w:val="left"/>
      </w:pPr>
    </w:p>
    <w:p w:rsidR="007B2861" w:rsidRDefault="007B2861">
      <w:pPr>
        <w:ind w:firstLineChars="598" w:firstLine="2641"/>
        <w:rPr>
          <w:b/>
          <w:bCs/>
          <w:sz w:val="44"/>
        </w:rPr>
      </w:pPr>
    </w:p>
    <w:p w:rsidR="007B2861" w:rsidRDefault="0061648C">
      <w:pPr>
        <w:jc w:val="center"/>
        <w:rPr>
          <w:b/>
          <w:bCs/>
          <w:sz w:val="44"/>
        </w:rPr>
      </w:pPr>
      <w:r>
        <w:rPr>
          <w:rFonts w:hint="eastAsia"/>
          <w:b/>
          <w:bCs/>
          <w:sz w:val="44"/>
        </w:rPr>
        <w:t>广东金融学院成人高等教育</w:t>
      </w:r>
    </w:p>
    <w:p w:rsidR="007B2861" w:rsidRDefault="007B2861">
      <w:pPr>
        <w:ind w:firstLineChars="398" w:firstLine="1119"/>
        <w:rPr>
          <w:b/>
          <w:bCs/>
          <w:sz w:val="28"/>
        </w:rPr>
      </w:pPr>
    </w:p>
    <w:p w:rsidR="007B2861" w:rsidRDefault="0061648C">
      <w:pPr>
        <w:jc w:val="center"/>
        <w:rPr>
          <w:rFonts w:eastAsia="华文新魏"/>
          <w:b/>
          <w:bCs/>
          <w:sz w:val="84"/>
        </w:rPr>
      </w:pPr>
      <w:r>
        <w:rPr>
          <w:rFonts w:eastAsia="华文新魏" w:hint="eastAsia"/>
          <w:b/>
          <w:bCs/>
          <w:sz w:val="144"/>
          <w:szCs w:val="144"/>
        </w:rPr>
        <w:t>毕</w:t>
      </w:r>
      <w:r>
        <w:rPr>
          <w:rFonts w:eastAsia="华文新魏" w:hint="eastAsia"/>
          <w:b/>
          <w:bCs/>
          <w:sz w:val="144"/>
          <w:szCs w:val="144"/>
        </w:rPr>
        <w:t xml:space="preserve"> </w:t>
      </w:r>
      <w:r>
        <w:rPr>
          <w:rFonts w:eastAsia="华文新魏" w:hint="eastAsia"/>
          <w:b/>
          <w:bCs/>
          <w:sz w:val="144"/>
          <w:szCs w:val="144"/>
        </w:rPr>
        <w:t>业</w:t>
      </w:r>
      <w:r>
        <w:rPr>
          <w:rFonts w:eastAsia="华文新魏" w:hint="eastAsia"/>
          <w:b/>
          <w:bCs/>
          <w:sz w:val="144"/>
          <w:szCs w:val="144"/>
        </w:rPr>
        <w:t xml:space="preserve"> </w:t>
      </w:r>
      <w:r>
        <w:rPr>
          <w:rFonts w:eastAsia="华文新魏" w:hint="eastAsia"/>
          <w:b/>
          <w:bCs/>
          <w:sz w:val="144"/>
          <w:szCs w:val="144"/>
        </w:rPr>
        <w:t>论</w:t>
      </w:r>
      <w:r>
        <w:rPr>
          <w:rFonts w:eastAsia="华文新魏" w:hint="eastAsia"/>
          <w:b/>
          <w:bCs/>
          <w:sz w:val="144"/>
          <w:szCs w:val="144"/>
        </w:rPr>
        <w:t xml:space="preserve"> </w:t>
      </w:r>
      <w:r>
        <w:rPr>
          <w:rFonts w:eastAsia="华文新魏" w:hint="eastAsia"/>
          <w:b/>
          <w:bCs/>
          <w:sz w:val="144"/>
          <w:szCs w:val="144"/>
        </w:rPr>
        <w:t>文</w:t>
      </w:r>
      <w:r>
        <w:rPr>
          <w:rFonts w:eastAsia="华文新魏" w:hint="eastAsia"/>
          <w:b/>
          <w:bCs/>
          <w:sz w:val="84"/>
        </w:rPr>
        <w:t xml:space="preserve"> </w:t>
      </w:r>
    </w:p>
    <w:p w:rsidR="007B2861" w:rsidRDefault="007B2861">
      <w:pPr>
        <w:rPr>
          <w:b/>
          <w:bCs/>
          <w:sz w:val="30"/>
        </w:rPr>
      </w:pPr>
    </w:p>
    <w:p w:rsidR="007B2861" w:rsidRDefault="007B2861">
      <w:pPr>
        <w:ind w:leftChars="1400" w:left="2940" w:firstLineChars="100" w:firstLine="301"/>
        <w:rPr>
          <w:b/>
          <w:bCs/>
          <w:sz w:val="30"/>
        </w:rPr>
      </w:pPr>
    </w:p>
    <w:tbl>
      <w:tblPr>
        <w:tblStyle w:val="aa"/>
        <w:tblW w:w="0" w:type="auto"/>
        <w:tblInd w:w="1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6105"/>
      </w:tblGrid>
      <w:tr w:rsidR="007B2861">
        <w:tc>
          <w:tcPr>
            <w:tcW w:w="1800" w:type="dxa"/>
            <w:tcBorders>
              <w:tl2br w:val="nil"/>
              <w:tr2bl w:val="nil"/>
            </w:tcBorders>
            <w:vAlign w:val="bottom"/>
          </w:tcPr>
          <w:p w:rsidR="007B2861" w:rsidRDefault="0061648C">
            <w:pPr>
              <w:jc w:val="center"/>
              <w:rPr>
                <w:b/>
                <w:bCs/>
                <w:sz w:val="30"/>
              </w:rPr>
            </w:pPr>
            <w:r>
              <w:rPr>
                <w:rFonts w:hint="eastAsia"/>
                <w:sz w:val="28"/>
              </w:rPr>
              <w:t>题</w:t>
            </w:r>
            <w:r>
              <w:rPr>
                <w:rFonts w:hint="eastAsia"/>
                <w:sz w:val="28"/>
              </w:rPr>
              <w:t xml:space="preserve">      </w:t>
            </w:r>
            <w:r>
              <w:rPr>
                <w:rFonts w:hint="eastAsia"/>
                <w:sz w:val="28"/>
              </w:rPr>
              <w:t>目：</w:t>
            </w:r>
          </w:p>
        </w:tc>
        <w:tc>
          <w:tcPr>
            <w:tcW w:w="6105" w:type="dxa"/>
            <w:tcBorders>
              <w:bottom w:val="single" w:sz="4" w:space="0" w:color="auto"/>
            </w:tcBorders>
            <w:vAlign w:val="bottom"/>
          </w:tcPr>
          <w:p w:rsidR="007B2861" w:rsidRDefault="0061648C">
            <w:pPr>
              <w:rPr>
                <w:bCs/>
                <w:sz w:val="30"/>
              </w:rPr>
            </w:pPr>
            <w:r>
              <w:rPr>
                <w:rFonts w:hint="eastAsia"/>
                <w:bCs/>
                <w:sz w:val="30"/>
              </w:rPr>
              <w:t>比亚迪股份有限公司财务报表分析</w:t>
            </w:r>
          </w:p>
        </w:tc>
      </w:tr>
      <w:tr w:rsidR="007B2861">
        <w:tc>
          <w:tcPr>
            <w:tcW w:w="1800" w:type="dxa"/>
            <w:tcBorders>
              <w:tl2br w:val="nil"/>
              <w:tr2bl w:val="nil"/>
            </w:tcBorders>
            <w:vAlign w:val="bottom"/>
          </w:tcPr>
          <w:p w:rsidR="007B2861" w:rsidRDefault="0061648C">
            <w:pPr>
              <w:jc w:val="center"/>
              <w:rPr>
                <w:b/>
                <w:bCs/>
                <w:sz w:val="30"/>
              </w:rPr>
            </w:pPr>
            <w:r>
              <w:rPr>
                <w:rFonts w:hint="eastAsia"/>
                <w:sz w:val="28"/>
              </w:rPr>
              <w:t>年</w:t>
            </w:r>
            <w:r>
              <w:rPr>
                <w:rFonts w:hint="eastAsia"/>
                <w:sz w:val="28"/>
              </w:rPr>
              <w:t xml:space="preserve">      </w:t>
            </w:r>
            <w:r>
              <w:rPr>
                <w:rFonts w:hint="eastAsia"/>
                <w:sz w:val="28"/>
              </w:rPr>
              <w:t>级：</w:t>
            </w:r>
          </w:p>
        </w:tc>
        <w:tc>
          <w:tcPr>
            <w:tcW w:w="6105" w:type="dxa"/>
            <w:tcBorders>
              <w:top w:val="single" w:sz="4" w:space="0" w:color="auto"/>
              <w:bottom w:val="single" w:sz="4" w:space="0" w:color="auto"/>
            </w:tcBorders>
            <w:vAlign w:val="bottom"/>
          </w:tcPr>
          <w:p w:rsidR="007B2861" w:rsidRDefault="0061648C">
            <w:pPr>
              <w:rPr>
                <w:sz w:val="30"/>
              </w:rPr>
            </w:pPr>
            <w:r>
              <w:rPr>
                <w:rFonts w:hint="eastAsia"/>
                <w:sz w:val="30"/>
              </w:rPr>
              <w:t>2020</w:t>
            </w:r>
            <w:r>
              <w:rPr>
                <w:rFonts w:hint="eastAsia"/>
                <w:sz w:val="30"/>
              </w:rPr>
              <w:t>级</w:t>
            </w:r>
          </w:p>
        </w:tc>
      </w:tr>
      <w:tr w:rsidR="007B2861">
        <w:tc>
          <w:tcPr>
            <w:tcW w:w="1800" w:type="dxa"/>
            <w:tcBorders>
              <w:tl2br w:val="nil"/>
              <w:tr2bl w:val="nil"/>
            </w:tcBorders>
            <w:vAlign w:val="bottom"/>
          </w:tcPr>
          <w:p w:rsidR="007B2861" w:rsidRDefault="0061648C">
            <w:pPr>
              <w:jc w:val="center"/>
              <w:rPr>
                <w:b/>
                <w:bCs/>
                <w:sz w:val="30"/>
              </w:rPr>
            </w:pPr>
            <w:r>
              <w:rPr>
                <w:rFonts w:hint="eastAsia"/>
                <w:sz w:val="28"/>
              </w:rPr>
              <w:t>专业、班级：</w:t>
            </w:r>
          </w:p>
        </w:tc>
        <w:tc>
          <w:tcPr>
            <w:tcW w:w="6105" w:type="dxa"/>
            <w:tcBorders>
              <w:top w:val="single" w:sz="4" w:space="0" w:color="auto"/>
              <w:bottom w:val="single" w:sz="4" w:space="0" w:color="auto"/>
            </w:tcBorders>
            <w:vAlign w:val="bottom"/>
          </w:tcPr>
          <w:p w:rsidR="007B2861" w:rsidRDefault="0061648C">
            <w:pPr>
              <w:rPr>
                <w:sz w:val="30"/>
              </w:rPr>
            </w:pPr>
            <w:r>
              <w:rPr>
                <w:rFonts w:hint="eastAsia"/>
                <w:sz w:val="30"/>
              </w:rPr>
              <w:t>会计学</w:t>
            </w:r>
          </w:p>
        </w:tc>
      </w:tr>
      <w:tr w:rsidR="007B2861">
        <w:tc>
          <w:tcPr>
            <w:tcW w:w="1800" w:type="dxa"/>
            <w:tcBorders>
              <w:tl2br w:val="nil"/>
              <w:tr2bl w:val="nil"/>
            </w:tcBorders>
            <w:vAlign w:val="bottom"/>
          </w:tcPr>
          <w:p w:rsidR="007B2861" w:rsidRDefault="0061648C">
            <w:pPr>
              <w:jc w:val="center"/>
              <w:rPr>
                <w:b/>
                <w:bCs/>
                <w:sz w:val="30"/>
              </w:rPr>
            </w:pPr>
            <w:r>
              <w:rPr>
                <w:rFonts w:hint="eastAsia"/>
                <w:sz w:val="28"/>
              </w:rPr>
              <w:t>层次、形式：</w:t>
            </w:r>
          </w:p>
        </w:tc>
        <w:tc>
          <w:tcPr>
            <w:tcW w:w="6105" w:type="dxa"/>
            <w:tcBorders>
              <w:top w:val="single" w:sz="4" w:space="0" w:color="auto"/>
              <w:bottom w:val="single" w:sz="4" w:space="0" w:color="auto"/>
            </w:tcBorders>
            <w:vAlign w:val="bottom"/>
          </w:tcPr>
          <w:p w:rsidR="007B2861" w:rsidRDefault="0061648C">
            <w:pPr>
              <w:rPr>
                <w:sz w:val="30"/>
              </w:rPr>
            </w:pPr>
            <w:r>
              <w:rPr>
                <w:rFonts w:hint="eastAsia"/>
                <w:sz w:val="30"/>
              </w:rPr>
              <w:t>专升本</w:t>
            </w:r>
            <w:r>
              <w:rPr>
                <w:rFonts w:hint="eastAsia"/>
                <w:sz w:val="30"/>
              </w:rPr>
              <w:t xml:space="preserve"> </w:t>
            </w:r>
            <w:r>
              <w:rPr>
                <w:rFonts w:hint="eastAsia"/>
                <w:sz w:val="30"/>
              </w:rPr>
              <w:t>函授</w:t>
            </w:r>
          </w:p>
        </w:tc>
      </w:tr>
      <w:tr w:rsidR="007B2861">
        <w:tc>
          <w:tcPr>
            <w:tcW w:w="1800" w:type="dxa"/>
            <w:tcBorders>
              <w:tl2br w:val="nil"/>
              <w:tr2bl w:val="nil"/>
            </w:tcBorders>
            <w:vAlign w:val="bottom"/>
          </w:tcPr>
          <w:p w:rsidR="007B2861" w:rsidRDefault="0061648C">
            <w:pPr>
              <w:jc w:val="center"/>
              <w:rPr>
                <w:b/>
                <w:bCs/>
                <w:sz w:val="30"/>
              </w:rPr>
            </w:pPr>
            <w:r>
              <w:rPr>
                <w:rFonts w:hint="eastAsia"/>
                <w:sz w:val="28"/>
              </w:rPr>
              <w:t>姓</w:t>
            </w:r>
            <w:r>
              <w:rPr>
                <w:rFonts w:hint="eastAsia"/>
                <w:sz w:val="28"/>
              </w:rPr>
              <w:t xml:space="preserve">      </w:t>
            </w:r>
            <w:r>
              <w:rPr>
                <w:rFonts w:hint="eastAsia"/>
                <w:sz w:val="28"/>
              </w:rPr>
              <w:t>名：</w:t>
            </w:r>
          </w:p>
        </w:tc>
        <w:tc>
          <w:tcPr>
            <w:tcW w:w="6105" w:type="dxa"/>
            <w:tcBorders>
              <w:top w:val="single" w:sz="4" w:space="0" w:color="auto"/>
              <w:bottom w:val="single" w:sz="4" w:space="0" w:color="auto"/>
            </w:tcBorders>
            <w:vAlign w:val="bottom"/>
          </w:tcPr>
          <w:p w:rsidR="007B2861" w:rsidRDefault="0061648C">
            <w:pPr>
              <w:rPr>
                <w:sz w:val="30"/>
              </w:rPr>
            </w:pPr>
            <w:r>
              <w:rPr>
                <w:rFonts w:hint="eastAsia"/>
                <w:sz w:val="30"/>
              </w:rPr>
              <w:t>方希敏</w:t>
            </w:r>
          </w:p>
        </w:tc>
      </w:tr>
      <w:tr w:rsidR="007B2861">
        <w:tc>
          <w:tcPr>
            <w:tcW w:w="1800" w:type="dxa"/>
            <w:tcBorders>
              <w:tl2br w:val="nil"/>
              <w:tr2bl w:val="nil"/>
            </w:tcBorders>
            <w:vAlign w:val="bottom"/>
          </w:tcPr>
          <w:p w:rsidR="007B2861" w:rsidRDefault="0061648C">
            <w:pPr>
              <w:jc w:val="center"/>
              <w:rPr>
                <w:b/>
                <w:bCs/>
                <w:sz w:val="30"/>
              </w:rPr>
            </w:pPr>
            <w:r>
              <w:rPr>
                <w:rFonts w:hint="eastAsia"/>
                <w:sz w:val="28"/>
              </w:rPr>
              <w:t>学</w:t>
            </w:r>
            <w:r>
              <w:rPr>
                <w:rFonts w:hint="eastAsia"/>
                <w:sz w:val="28"/>
              </w:rPr>
              <w:t xml:space="preserve">      </w:t>
            </w:r>
            <w:r>
              <w:rPr>
                <w:rFonts w:hint="eastAsia"/>
                <w:sz w:val="28"/>
              </w:rPr>
              <w:t>号：</w:t>
            </w:r>
          </w:p>
        </w:tc>
        <w:tc>
          <w:tcPr>
            <w:tcW w:w="6105" w:type="dxa"/>
            <w:tcBorders>
              <w:top w:val="single" w:sz="4" w:space="0" w:color="auto"/>
              <w:bottom w:val="single" w:sz="4" w:space="0" w:color="auto"/>
            </w:tcBorders>
            <w:vAlign w:val="bottom"/>
          </w:tcPr>
          <w:p w:rsidR="007B2861" w:rsidRDefault="0061648C">
            <w:pPr>
              <w:rPr>
                <w:sz w:val="30"/>
              </w:rPr>
            </w:pPr>
            <w:r>
              <w:rPr>
                <w:rFonts w:hint="eastAsia"/>
                <w:sz w:val="30"/>
              </w:rPr>
              <w:t>20110203036046</w:t>
            </w:r>
          </w:p>
        </w:tc>
      </w:tr>
      <w:tr w:rsidR="007B2861">
        <w:tc>
          <w:tcPr>
            <w:tcW w:w="1800" w:type="dxa"/>
            <w:tcBorders>
              <w:tl2br w:val="nil"/>
              <w:tr2bl w:val="nil"/>
            </w:tcBorders>
            <w:vAlign w:val="bottom"/>
          </w:tcPr>
          <w:p w:rsidR="007B2861" w:rsidRDefault="0061648C">
            <w:pPr>
              <w:jc w:val="center"/>
              <w:rPr>
                <w:b/>
                <w:bCs/>
                <w:sz w:val="30"/>
              </w:rPr>
            </w:pPr>
            <w:r w:rsidRPr="00DB65DA">
              <w:rPr>
                <w:rFonts w:hint="eastAsia"/>
                <w:spacing w:val="30"/>
                <w:kern w:val="0"/>
                <w:sz w:val="28"/>
                <w:fitText w:val="1680" w:id="746742134"/>
              </w:rPr>
              <w:t>指导教师</w:t>
            </w:r>
            <w:r w:rsidRPr="00DB65DA">
              <w:rPr>
                <w:rFonts w:hint="eastAsia"/>
                <w:spacing w:val="7"/>
                <w:kern w:val="0"/>
                <w:sz w:val="28"/>
                <w:fitText w:val="1680" w:id="746742134"/>
              </w:rPr>
              <w:t>：</w:t>
            </w:r>
          </w:p>
        </w:tc>
        <w:tc>
          <w:tcPr>
            <w:tcW w:w="6105" w:type="dxa"/>
            <w:tcBorders>
              <w:top w:val="single" w:sz="4" w:space="0" w:color="auto"/>
              <w:bottom w:val="single" w:sz="4" w:space="0" w:color="auto"/>
            </w:tcBorders>
            <w:vAlign w:val="bottom"/>
          </w:tcPr>
          <w:p w:rsidR="007B2861" w:rsidRDefault="0061648C">
            <w:pPr>
              <w:rPr>
                <w:sz w:val="30"/>
              </w:rPr>
            </w:pPr>
            <w:r>
              <w:rPr>
                <w:rFonts w:hint="eastAsia"/>
                <w:sz w:val="30"/>
              </w:rPr>
              <w:t>林洽焕</w:t>
            </w:r>
          </w:p>
        </w:tc>
      </w:tr>
      <w:tr w:rsidR="007B2861">
        <w:tc>
          <w:tcPr>
            <w:tcW w:w="1800" w:type="dxa"/>
            <w:tcBorders>
              <w:tl2br w:val="nil"/>
              <w:tr2bl w:val="nil"/>
            </w:tcBorders>
            <w:vAlign w:val="bottom"/>
          </w:tcPr>
          <w:p w:rsidR="007B2861" w:rsidRDefault="0061648C">
            <w:pPr>
              <w:jc w:val="center"/>
              <w:rPr>
                <w:b/>
                <w:bCs/>
                <w:sz w:val="30"/>
              </w:rPr>
            </w:pPr>
            <w:r>
              <w:rPr>
                <w:rFonts w:hint="eastAsia"/>
                <w:sz w:val="28"/>
              </w:rPr>
              <w:t>教</w:t>
            </w:r>
            <w:r>
              <w:rPr>
                <w:rFonts w:hint="eastAsia"/>
                <w:sz w:val="28"/>
              </w:rPr>
              <w:t xml:space="preserve">  </w:t>
            </w:r>
            <w:r>
              <w:rPr>
                <w:rFonts w:hint="eastAsia"/>
                <w:sz w:val="28"/>
              </w:rPr>
              <w:t>学</w:t>
            </w:r>
            <w:r>
              <w:rPr>
                <w:rFonts w:hint="eastAsia"/>
                <w:sz w:val="28"/>
              </w:rPr>
              <w:t xml:space="preserve">  </w:t>
            </w:r>
            <w:r>
              <w:rPr>
                <w:rFonts w:hint="eastAsia"/>
                <w:sz w:val="28"/>
              </w:rPr>
              <w:t>点：</w:t>
            </w:r>
          </w:p>
        </w:tc>
        <w:tc>
          <w:tcPr>
            <w:tcW w:w="6105" w:type="dxa"/>
            <w:tcBorders>
              <w:top w:val="single" w:sz="4" w:space="0" w:color="auto"/>
              <w:bottom w:val="single" w:sz="4" w:space="0" w:color="auto"/>
            </w:tcBorders>
            <w:vAlign w:val="bottom"/>
          </w:tcPr>
          <w:p w:rsidR="007B2861" w:rsidRDefault="007B2861">
            <w:pPr>
              <w:rPr>
                <w:b/>
                <w:bCs/>
                <w:sz w:val="30"/>
              </w:rPr>
            </w:pPr>
          </w:p>
        </w:tc>
      </w:tr>
    </w:tbl>
    <w:p w:rsidR="007B2861" w:rsidRDefault="007B2861">
      <w:pPr>
        <w:ind w:leftChars="1400" w:left="2940" w:firstLineChars="100" w:firstLine="301"/>
        <w:rPr>
          <w:b/>
          <w:bCs/>
          <w:sz w:val="30"/>
        </w:rPr>
      </w:pPr>
    </w:p>
    <w:p w:rsidR="007B2861" w:rsidRDefault="007B2861">
      <w:pPr>
        <w:ind w:leftChars="1400" w:left="2940" w:firstLineChars="100" w:firstLine="301"/>
        <w:rPr>
          <w:b/>
          <w:bCs/>
          <w:sz w:val="30"/>
        </w:rPr>
      </w:pPr>
    </w:p>
    <w:p w:rsidR="007B2861" w:rsidRDefault="007B2861">
      <w:pPr>
        <w:ind w:leftChars="1400" w:left="2940" w:firstLineChars="100" w:firstLine="301"/>
        <w:rPr>
          <w:b/>
          <w:bCs/>
          <w:sz w:val="30"/>
        </w:rPr>
      </w:pPr>
    </w:p>
    <w:p w:rsidR="007B2861" w:rsidRDefault="0061648C">
      <w:pPr>
        <w:ind w:firstLineChars="1200" w:firstLine="3360"/>
        <w:rPr>
          <w:sz w:val="28"/>
        </w:rPr>
      </w:pPr>
      <w:r>
        <w:rPr>
          <w:rFonts w:hint="eastAsia"/>
          <w:sz w:val="28"/>
        </w:rPr>
        <w:t>2022</w:t>
      </w:r>
      <w:r>
        <w:rPr>
          <w:rFonts w:hint="eastAsia"/>
          <w:sz w:val="28"/>
        </w:rPr>
        <w:t>年</w:t>
      </w:r>
      <w:r>
        <w:rPr>
          <w:rFonts w:hint="eastAsia"/>
          <w:sz w:val="28"/>
        </w:rPr>
        <w:t xml:space="preserve"> 8 </w:t>
      </w:r>
      <w:r>
        <w:rPr>
          <w:rFonts w:hint="eastAsia"/>
          <w:sz w:val="28"/>
        </w:rPr>
        <w:t>月</w:t>
      </w:r>
      <w:r>
        <w:rPr>
          <w:rFonts w:hint="eastAsia"/>
          <w:sz w:val="28"/>
        </w:rPr>
        <w:t xml:space="preserve"> 7 </w:t>
      </w:r>
      <w:r>
        <w:rPr>
          <w:rFonts w:hint="eastAsia"/>
          <w:sz w:val="28"/>
        </w:rPr>
        <w:t>日</w:t>
      </w:r>
    </w:p>
    <w:p w:rsidR="007B2861" w:rsidRDefault="0061648C">
      <w:pPr>
        <w:ind w:firstLineChars="1000" w:firstLine="2800"/>
        <w:rPr>
          <w:sz w:val="28"/>
        </w:rPr>
      </w:pPr>
      <w:r>
        <w:rPr>
          <w:rFonts w:hint="eastAsia"/>
          <w:sz w:val="28"/>
        </w:rPr>
        <w:lastRenderedPageBreak/>
        <w:t xml:space="preserve">     </w:t>
      </w:r>
    </w:p>
    <w:p w:rsidR="007B2861" w:rsidRDefault="0061648C">
      <w:pPr>
        <w:ind w:rightChars="-48" w:right="-101"/>
        <w:jc w:val="center"/>
        <w:rPr>
          <w:rFonts w:ascii="黑体" w:eastAsia="黑体"/>
          <w:b/>
          <w:sz w:val="44"/>
          <w:szCs w:val="44"/>
        </w:rPr>
      </w:pPr>
      <w:r>
        <w:rPr>
          <w:rFonts w:ascii="黑体" w:eastAsia="黑体" w:hint="eastAsia"/>
          <w:b/>
          <w:sz w:val="44"/>
          <w:szCs w:val="44"/>
        </w:rPr>
        <w:t>毕业论文（设计）诚信保证书</w:t>
      </w:r>
    </w:p>
    <w:p w:rsidR="007B2861" w:rsidRDefault="007B2861">
      <w:pPr>
        <w:ind w:rightChars="-48" w:right="-101" w:firstLineChars="200" w:firstLine="560"/>
        <w:rPr>
          <w:rFonts w:ascii="楷体_GB2312" w:eastAsia="楷体_GB2312"/>
          <w:sz w:val="28"/>
          <w:szCs w:val="28"/>
        </w:rPr>
      </w:pPr>
    </w:p>
    <w:p w:rsidR="007B2861" w:rsidRDefault="0061648C">
      <w:pPr>
        <w:ind w:rightChars="-48" w:right="-101" w:firstLineChars="200" w:firstLine="560"/>
        <w:jc w:val="left"/>
        <w:rPr>
          <w:rFonts w:ascii="宋体" w:hAnsi="宋体"/>
          <w:sz w:val="28"/>
          <w:szCs w:val="28"/>
        </w:rPr>
      </w:pPr>
      <w:r>
        <w:rPr>
          <w:rFonts w:ascii="宋体" w:hAnsi="宋体" w:hint="eastAsia"/>
          <w:sz w:val="28"/>
          <w:szCs w:val="28"/>
        </w:rPr>
        <w:t>我保证我撰写的毕业论文（设计）《</w:t>
      </w:r>
      <w:r>
        <w:rPr>
          <w:rFonts w:hint="eastAsia"/>
          <w:bCs/>
          <w:sz w:val="30"/>
        </w:rPr>
        <w:t>比亚迪股份有限公司财务报表分析</w:t>
      </w:r>
      <w:r>
        <w:rPr>
          <w:rFonts w:ascii="宋体" w:hAnsi="宋体" w:hint="eastAsia"/>
          <w:sz w:val="28"/>
          <w:szCs w:val="28"/>
        </w:rPr>
        <w:t>》， 没有</w:t>
      </w:r>
      <w:r>
        <w:rPr>
          <w:rFonts w:ascii="宋体" w:hAnsi="宋体" w:cs="黑体" w:hint="eastAsia"/>
          <w:color w:val="000000"/>
          <w:kern w:val="0"/>
          <w:sz w:val="30"/>
          <w:szCs w:val="30"/>
        </w:rPr>
        <w:t>由他人代写、剽窃（抄袭）或者伪造数据等作假情形</w:t>
      </w:r>
      <w:r>
        <w:rPr>
          <w:rFonts w:ascii="宋体" w:hAnsi="宋体" w:hint="eastAsia"/>
          <w:sz w:val="28"/>
          <w:szCs w:val="28"/>
        </w:rPr>
        <w:t>，若出现上述</w:t>
      </w:r>
      <w:r>
        <w:rPr>
          <w:rFonts w:ascii="宋体" w:hAnsi="宋体" w:cs="黑体" w:hint="eastAsia"/>
          <w:color w:val="000000"/>
          <w:kern w:val="0"/>
          <w:sz w:val="30"/>
          <w:szCs w:val="30"/>
        </w:rPr>
        <w:t>情形</w:t>
      </w:r>
      <w:r>
        <w:rPr>
          <w:rFonts w:ascii="宋体" w:hAnsi="宋体" w:hint="eastAsia"/>
          <w:sz w:val="28"/>
          <w:szCs w:val="28"/>
        </w:rPr>
        <w:t>，产生的后果一切由本人负责</w:t>
      </w:r>
      <w:r>
        <w:rPr>
          <w:rFonts w:ascii="楷体_GB2312" w:eastAsia="楷体_GB2312" w:hAnsi="宋体" w:hint="eastAsia"/>
          <w:sz w:val="28"/>
          <w:szCs w:val="28"/>
        </w:rPr>
        <w:t>。</w:t>
      </w:r>
    </w:p>
    <w:p w:rsidR="007B2861" w:rsidRDefault="0061648C">
      <w:pPr>
        <w:ind w:rightChars="-48" w:right="-101"/>
        <w:rPr>
          <w:rFonts w:ascii="宋体" w:hAnsi="宋体"/>
          <w:sz w:val="28"/>
          <w:szCs w:val="28"/>
        </w:rPr>
      </w:pPr>
      <w:r>
        <w:rPr>
          <w:rFonts w:ascii="宋体" w:hAnsi="宋体" w:hint="eastAsia"/>
          <w:sz w:val="28"/>
          <w:szCs w:val="28"/>
        </w:rPr>
        <w:t xml:space="preserve">                         </w:t>
      </w:r>
    </w:p>
    <w:p w:rsidR="007B2861" w:rsidRDefault="007B2861">
      <w:pPr>
        <w:ind w:rightChars="-48" w:right="-101" w:firstLineChars="900" w:firstLine="2520"/>
        <w:rPr>
          <w:rFonts w:ascii="宋体" w:hAnsi="宋体"/>
          <w:sz w:val="28"/>
          <w:szCs w:val="28"/>
        </w:rPr>
      </w:pPr>
    </w:p>
    <w:p w:rsidR="007B2861" w:rsidRDefault="0061648C">
      <w:pPr>
        <w:ind w:rightChars="-48" w:right="-101" w:firstLineChars="900" w:firstLine="2520"/>
        <w:jc w:val="right"/>
        <w:rPr>
          <w:rFonts w:ascii="宋体" w:hAnsi="宋体"/>
          <w:sz w:val="28"/>
          <w:szCs w:val="28"/>
        </w:rPr>
      </w:pPr>
      <w:r>
        <w:rPr>
          <w:rFonts w:ascii="宋体" w:hAnsi="宋体" w:hint="eastAsia"/>
          <w:sz w:val="28"/>
          <w:szCs w:val="28"/>
        </w:rPr>
        <w:t>保证人签名：</w:t>
      </w:r>
      <w:r>
        <w:rPr>
          <w:rFonts w:ascii="宋体" w:hAnsi="宋体" w:hint="eastAsia"/>
          <w:color w:val="FF0000"/>
          <w:sz w:val="28"/>
          <w:szCs w:val="28"/>
        </w:rPr>
        <w:t xml:space="preserve"> </w:t>
      </w:r>
      <w:r>
        <w:rPr>
          <w:rFonts w:ascii="宋体" w:hAnsi="宋体" w:hint="eastAsia"/>
          <w:sz w:val="28"/>
          <w:szCs w:val="28"/>
        </w:rPr>
        <w:t xml:space="preserve">    学号：</w:t>
      </w:r>
      <w:r>
        <w:rPr>
          <w:rFonts w:ascii="宋体" w:hAnsi="宋体"/>
          <w:sz w:val="28"/>
          <w:szCs w:val="28"/>
        </w:rPr>
        <w:t>20110203036046</w:t>
      </w:r>
    </w:p>
    <w:p w:rsidR="007B2861" w:rsidRDefault="0061648C">
      <w:pPr>
        <w:ind w:rightChars="-48" w:right="-101" w:firstLineChars="1000" w:firstLine="2800"/>
        <w:jc w:val="right"/>
        <w:rPr>
          <w:rFonts w:ascii="宋体" w:hAnsi="宋体"/>
          <w:sz w:val="28"/>
          <w:szCs w:val="28"/>
        </w:rPr>
      </w:pPr>
      <w:r>
        <w:rPr>
          <w:rFonts w:ascii="宋体" w:hAnsi="宋体" w:hint="eastAsia"/>
          <w:sz w:val="28"/>
          <w:szCs w:val="28"/>
        </w:rPr>
        <w:t>2020级 会计学专业        教学点</w:t>
      </w:r>
    </w:p>
    <w:p w:rsidR="007B2861" w:rsidRDefault="0061648C">
      <w:pPr>
        <w:ind w:rightChars="-48" w:right="-101" w:firstLineChars="2000" w:firstLine="5600"/>
        <w:jc w:val="right"/>
        <w:rPr>
          <w:rFonts w:ascii="宋体" w:hAnsi="宋体"/>
          <w:sz w:val="28"/>
          <w:szCs w:val="28"/>
        </w:rPr>
      </w:pPr>
      <w:r>
        <w:rPr>
          <w:rFonts w:ascii="宋体" w:hAnsi="宋体" w:hint="eastAsia"/>
          <w:sz w:val="28"/>
          <w:szCs w:val="28"/>
        </w:rPr>
        <w:t>二〇二二年八月七日</w:t>
      </w:r>
    </w:p>
    <w:p w:rsidR="007B2861" w:rsidRDefault="007B2861">
      <w:pPr>
        <w:ind w:rightChars="-48" w:right="-101"/>
        <w:rPr>
          <w:rFonts w:ascii="楷体_GB2312" w:eastAsia="楷体_GB2312" w:hAnsi="宋体"/>
          <w:sz w:val="28"/>
          <w:szCs w:val="28"/>
        </w:rPr>
      </w:pPr>
    </w:p>
    <w:p w:rsidR="007B2861" w:rsidRDefault="0061648C">
      <w:pPr>
        <w:ind w:rightChars="-48" w:right="-101"/>
        <w:rPr>
          <w:rFonts w:ascii="宋体" w:hAnsi="宋体"/>
          <w:sz w:val="28"/>
          <w:szCs w:val="28"/>
        </w:rPr>
      </w:pPr>
      <w:r>
        <w:rPr>
          <w:rFonts w:ascii="宋体" w:hAnsi="宋体" w:hint="eastAsia"/>
          <w:sz w:val="28"/>
          <w:szCs w:val="28"/>
        </w:rPr>
        <w:t>备注：1.所有毕业生都必须签订本诚信保证书。</w:t>
      </w:r>
    </w:p>
    <w:p w:rsidR="007B2861" w:rsidRDefault="0061648C">
      <w:pPr>
        <w:ind w:rightChars="-48" w:right="-101" w:firstLineChars="300" w:firstLine="840"/>
        <w:rPr>
          <w:rFonts w:ascii="宋体" w:hAnsi="宋体"/>
          <w:sz w:val="28"/>
          <w:szCs w:val="28"/>
        </w:rPr>
      </w:pPr>
      <w:r>
        <w:rPr>
          <w:rFonts w:ascii="宋体" w:hAnsi="宋体" w:hint="eastAsia"/>
          <w:sz w:val="28"/>
          <w:szCs w:val="28"/>
        </w:rPr>
        <w:t>2.本诚信保证书与论文一起装订。</w:t>
      </w: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61648C">
      <w:pPr>
        <w:ind w:right="960"/>
        <w:jc w:val="center"/>
        <w:rPr>
          <w:rFonts w:ascii="黑体" w:eastAsia="黑体" w:hAnsi="黑体"/>
          <w:b/>
          <w:bCs/>
          <w:sz w:val="36"/>
          <w:szCs w:val="36"/>
        </w:rPr>
      </w:pPr>
      <w:r>
        <w:rPr>
          <w:rFonts w:ascii="黑体" w:eastAsia="黑体" w:hAnsi="黑体" w:hint="eastAsia"/>
          <w:b/>
          <w:bCs/>
          <w:sz w:val="36"/>
          <w:szCs w:val="36"/>
        </w:rPr>
        <w:t>比亚迪股份有限公司财务报表分析</w:t>
      </w:r>
    </w:p>
    <w:p w:rsidR="007B2861" w:rsidRDefault="007B2861">
      <w:pPr>
        <w:ind w:right="960"/>
        <w:rPr>
          <w:rFonts w:ascii="黑体" w:eastAsia="黑体" w:hAnsi="黑体"/>
          <w:sz w:val="24"/>
        </w:rPr>
      </w:pPr>
    </w:p>
    <w:p w:rsidR="007B2861" w:rsidRDefault="0061648C">
      <w:pPr>
        <w:spacing w:line="360" w:lineRule="auto"/>
        <w:ind w:right="958"/>
        <w:rPr>
          <w:rFonts w:ascii="宋体" w:hAnsi="宋体"/>
          <w:sz w:val="24"/>
        </w:rPr>
      </w:pPr>
      <w:r>
        <w:rPr>
          <w:rFonts w:ascii="黑体" w:eastAsia="黑体" w:hAnsi="黑体" w:hint="eastAsia"/>
          <w:b/>
          <w:sz w:val="32"/>
          <w:szCs w:val="32"/>
        </w:rPr>
        <w:t>[内容摘要]</w:t>
      </w:r>
      <w:r>
        <w:rPr>
          <w:rFonts w:hint="eastAsia"/>
        </w:rPr>
        <w:t xml:space="preserve"> </w:t>
      </w:r>
      <w:r>
        <w:rPr>
          <w:rFonts w:asciiTheme="minorEastAsia" w:eastAsiaTheme="minorEastAsia" w:hAnsiTheme="minorEastAsia" w:hint="eastAsia"/>
          <w:sz w:val="28"/>
          <w:szCs w:val="28"/>
        </w:rPr>
        <w:t>本论文以比亚迪近年来的年度报表及相关的数据为依据，以比亚迪公司为例，通过分析比亚迪公司的财务状况及运营状况。然后，通过比较上汽集团与长城汽车的财务状况，从营运实力的角度来进行比亚迪的财务报表。结合比亚迪在业内的优势与劣势，对比亚迪公司的表现进行了分析。最后总结比亚迪公司的财务状况，为公司未来发展指明了一个新的发展方向，同时也为公司的政策制定者和广大的投资人提供了一些意见。</w:t>
      </w:r>
    </w:p>
    <w:p w:rsidR="007B2861" w:rsidRDefault="0061648C">
      <w:pPr>
        <w:ind w:right="960"/>
        <w:rPr>
          <w:rFonts w:ascii="宋体" w:hAnsi="宋体"/>
          <w:sz w:val="24"/>
        </w:rPr>
      </w:pPr>
      <w:r>
        <w:rPr>
          <w:rFonts w:ascii="黑体" w:eastAsia="黑体" w:hAnsi="黑体" w:hint="eastAsia"/>
          <w:b/>
          <w:sz w:val="28"/>
          <w:szCs w:val="28"/>
        </w:rPr>
        <w:t xml:space="preserve">[关键词] </w:t>
      </w:r>
      <w:r>
        <w:rPr>
          <w:rFonts w:ascii="黑体" w:eastAsia="黑体" w:hAnsi="黑体" w:hint="eastAsia"/>
          <w:b/>
          <w:sz w:val="32"/>
          <w:szCs w:val="32"/>
        </w:rPr>
        <w:t xml:space="preserve"> </w:t>
      </w:r>
      <w:r>
        <w:rPr>
          <w:rFonts w:asciiTheme="minorEastAsia" w:eastAsiaTheme="minorEastAsia" w:hAnsiTheme="minorEastAsia" w:hint="eastAsia"/>
          <w:sz w:val="32"/>
          <w:szCs w:val="32"/>
        </w:rPr>
        <w:t>比亚迪公司 财务报表分析 财务状况 建议</w:t>
      </w: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jc w:val="center"/>
        <w:rPr>
          <w:rFonts w:ascii="黑体" w:eastAsia="黑体" w:hAnsi="黑体"/>
          <w:b/>
          <w:sz w:val="32"/>
          <w:szCs w:val="32"/>
        </w:rPr>
        <w:sectPr w:rsidR="007B2861">
          <w:footerReference w:type="default" r:id="rId9"/>
          <w:pgSz w:w="11850" w:h="16783"/>
          <w:pgMar w:top="1440" w:right="1247" w:bottom="1440" w:left="1701" w:header="851" w:footer="992" w:gutter="0"/>
          <w:pgNumType w:start="1"/>
          <w:cols w:space="425"/>
          <w:docGrid w:type="lines" w:linePitch="312"/>
        </w:sectPr>
      </w:pPr>
    </w:p>
    <w:p w:rsidR="007B2861" w:rsidRDefault="0061648C">
      <w:pPr>
        <w:ind w:right="960"/>
        <w:jc w:val="center"/>
        <w:rPr>
          <w:rFonts w:ascii="宋体" w:hAnsi="宋体" w:cs="宋体"/>
          <w:b/>
          <w:sz w:val="32"/>
          <w:szCs w:val="32"/>
        </w:rPr>
      </w:pPr>
      <w:r>
        <w:rPr>
          <w:rFonts w:ascii="宋体" w:hAnsi="宋体" w:cs="宋体" w:hint="eastAsia"/>
          <w:b/>
          <w:sz w:val="32"/>
          <w:szCs w:val="32"/>
        </w:rPr>
        <w:lastRenderedPageBreak/>
        <w:t>目   录</w:t>
      </w:r>
    </w:p>
    <w:p w:rsidR="007B2861" w:rsidRDefault="007B2861">
      <w:pPr>
        <w:ind w:right="960"/>
        <w:rPr>
          <w:rFonts w:ascii="宋体" w:hAnsi="宋体"/>
          <w:sz w:val="24"/>
        </w:rPr>
      </w:pPr>
    </w:p>
    <w:p w:rsidR="007B2861" w:rsidRDefault="0061648C">
      <w:pPr>
        <w:pStyle w:val="10"/>
        <w:tabs>
          <w:tab w:val="clear" w:pos="8892"/>
          <w:tab w:val="right" w:leader="dot" w:pos="9184"/>
        </w:tabs>
      </w:pPr>
      <w:r>
        <w:fldChar w:fldCharType="begin"/>
      </w:r>
      <w:r>
        <w:instrText xml:space="preserve"> </w:instrText>
      </w:r>
      <w:r>
        <w:rPr>
          <w:rFonts w:hint="eastAsia"/>
        </w:rPr>
        <w:instrText>TOC \o "1-3" \h \z \u</w:instrText>
      </w:r>
      <w:r>
        <w:instrText xml:space="preserve"> </w:instrText>
      </w:r>
      <w:r>
        <w:fldChar w:fldCharType="separate"/>
      </w:r>
      <w:hyperlink w:anchor="_Toc19400" w:history="1">
        <w:r>
          <w:rPr>
            <w:rFonts w:hint="eastAsia"/>
          </w:rPr>
          <w:t>前言</w:t>
        </w:r>
        <w:r>
          <w:tab/>
        </w:r>
        <w:r>
          <w:fldChar w:fldCharType="begin"/>
        </w:r>
        <w:r>
          <w:instrText xml:space="preserve"> PAGEREF _Toc19400 \h </w:instrText>
        </w:r>
        <w:r>
          <w:fldChar w:fldCharType="separate"/>
        </w:r>
        <w:r>
          <w:t>2</w:t>
        </w:r>
        <w:r>
          <w:fldChar w:fldCharType="end"/>
        </w:r>
      </w:hyperlink>
    </w:p>
    <w:p w:rsidR="007B2861" w:rsidRDefault="00DB65DA">
      <w:pPr>
        <w:pStyle w:val="10"/>
        <w:tabs>
          <w:tab w:val="clear" w:pos="8892"/>
          <w:tab w:val="right" w:leader="dot" w:pos="9184"/>
        </w:tabs>
      </w:pPr>
      <w:hyperlink w:anchor="_Toc14989" w:history="1">
        <w:r w:rsidR="0061648C">
          <w:rPr>
            <w:rFonts w:hint="eastAsia"/>
          </w:rPr>
          <w:t>一、绪论</w:t>
        </w:r>
        <w:r w:rsidR="0061648C">
          <w:tab/>
        </w:r>
        <w:r w:rsidR="0061648C">
          <w:fldChar w:fldCharType="begin"/>
        </w:r>
        <w:r w:rsidR="0061648C">
          <w:instrText xml:space="preserve"> PAGEREF _Toc14989 \h </w:instrText>
        </w:r>
        <w:r w:rsidR="0061648C">
          <w:fldChar w:fldCharType="separate"/>
        </w:r>
        <w:r w:rsidR="0061648C">
          <w:t>2</w:t>
        </w:r>
        <w:r w:rsidR="0061648C">
          <w:fldChar w:fldCharType="end"/>
        </w:r>
      </w:hyperlink>
    </w:p>
    <w:p w:rsidR="007B2861" w:rsidRDefault="00DB65DA">
      <w:pPr>
        <w:pStyle w:val="20"/>
        <w:tabs>
          <w:tab w:val="right" w:leader="dot" w:pos="9184"/>
        </w:tabs>
      </w:pPr>
      <w:hyperlink w:anchor="_Toc30963" w:history="1">
        <w:r w:rsidR="0061648C">
          <w:rPr>
            <w:rFonts w:hint="eastAsia"/>
          </w:rPr>
          <w:t>（一）选题背景</w:t>
        </w:r>
        <w:r w:rsidR="0061648C">
          <w:tab/>
        </w:r>
        <w:r w:rsidR="0061648C">
          <w:fldChar w:fldCharType="begin"/>
        </w:r>
        <w:r w:rsidR="0061648C">
          <w:instrText xml:space="preserve"> PAGEREF _Toc30963 \h </w:instrText>
        </w:r>
        <w:r w:rsidR="0061648C">
          <w:fldChar w:fldCharType="separate"/>
        </w:r>
        <w:r w:rsidR="0061648C">
          <w:t>2</w:t>
        </w:r>
        <w:r w:rsidR="0061648C">
          <w:fldChar w:fldCharType="end"/>
        </w:r>
      </w:hyperlink>
    </w:p>
    <w:p w:rsidR="007B2861" w:rsidRDefault="00DB65DA">
      <w:pPr>
        <w:pStyle w:val="20"/>
        <w:tabs>
          <w:tab w:val="right" w:leader="dot" w:pos="9184"/>
        </w:tabs>
      </w:pPr>
      <w:hyperlink w:anchor="_Toc31441" w:history="1">
        <w:r w:rsidR="0061648C">
          <w:rPr>
            <w:rFonts w:hint="eastAsia"/>
          </w:rPr>
          <w:t>（二）研究目的</w:t>
        </w:r>
        <w:r w:rsidR="0061648C">
          <w:tab/>
        </w:r>
        <w:r w:rsidR="0061648C">
          <w:fldChar w:fldCharType="begin"/>
        </w:r>
        <w:r w:rsidR="0061648C">
          <w:instrText xml:space="preserve"> PAGEREF _Toc31441 \h </w:instrText>
        </w:r>
        <w:r w:rsidR="0061648C">
          <w:fldChar w:fldCharType="separate"/>
        </w:r>
        <w:r w:rsidR="0061648C">
          <w:t>3</w:t>
        </w:r>
        <w:r w:rsidR="0061648C">
          <w:fldChar w:fldCharType="end"/>
        </w:r>
      </w:hyperlink>
    </w:p>
    <w:p w:rsidR="007B2861" w:rsidRDefault="00DB65DA">
      <w:pPr>
        <w:pStyle w:val="20"/>
        <w:tabs>
          <w:tab w:val="right" w:leader="dot" w:pos="9184"/>
        </w:tabs>
      </w:pPr>
      <w:hyperlink w:anchor="_Toc26233" w:history="1">
        <w:r w:rsidR="0061648C">
          <w:rPr>
            <w:rFonts w:hint="eastAsia"/>
          </w:rPr>
          <w:t>（三）研究思路</w:t>
        </w:r>
        <w:r w:rsidR="0061648C">
          <w:tab/>
        </w:r>
        <w:r w:rsidR="0061648C">
          <w:fldChar w:fldCharType="begin"/>
        </w:r>
        <w:r w:rsidR="0061648C">
          <w:instrText xml:space="preserve"> PAGEREF _Toc26233 \h </w:instrText>
        </w:r>
        <w:r w:rsidR="0061648C">
          <w:fldChar w:fldCharType="separate"/>
        </w:r>
        <w:r w:rsidR="0061648C">
          <w:t>3</w:t>
        </w:r>
        <w:r w:rsidR="0061648C">
          <w:fldChar w:fldCharType="end"/>
        </w:r>
      </w:hyperlink>
    </w:p>
    <w:p w:rsidR="007B2861" w:rsidRDefault="00DB65DA">
      <w:pPr>
        <w:pStyle w:val="20"/>
        <w:tabs>
          <w:tab w:val="right" w:leader="dot" w:pos="9184"/>
        </w:tabs>
      </w:pPr>
      <w:hyperlink w:anchor="_Toc5737" w:history="1">
        <w:r w:rsidR="0061648C">
          <w:rPr>
            <w:rFonts w:hint="eastAsia"/>
          </w:rPr>
          <w:t>（四）研究方法</w:t>
        </w:r>
        <w:r w:rsidR="0061648C">
          <w:tab/>
        </w:r>
        <w:r w:rsidR="0061648C">
          <w:fldChar w:fldCharType="begin"/>
        </w:r>
        <w:r w:rsidR="0061648C">
          <w:instrText xml:space="preserve"> PAGEREF _Toc5737 \h </w:instrText>
        </w:r>
        <w:r w:rsidR="0061648C">
          <w:fldChar w:fldCharType="separate"/>
        </w:r>
        <w:r w:rsidR="0061648C">
          <w:t>3</w:t>
        </w:r>
        <w:r w:rsidR="0061648C">
          <w:fldChar w:fldCharType="end"/>
        </w:r>
      </w:hyperlink>
    </w:p>
    <w:p w:rsidR="007B2861" w:rsidRDefault="00DB65DA">
      <w:pPr>
        <w:pStyle w:val="10"/>
        <w:tabs>
          <w:tab w:val="clear" w:pos="8892"/>
          <w:tab w:val="right" w:leader="dot" w:pos="9184"/>
        </w:tabs>
      </w:pPr>
      <w:hyperlink w:anchor="_Toc6603" w:history="1">
        <w:r w:rsidR="0061648C">
          <w:rPr>
            <w:rFonts w:hint="eastAsia"/>
          </w:rPr>
          <w:t>二、财务报表分析常用方法</w:t>
        </w:r>
        <w:r w:rsidR="0061648C">
          <w:tab/>
        </w:r>
        <w:r w:rsidR="0061648C">
          <w:fldChar w:fldCharType="begin"/>
        </w:r>
        <w:r w:rsidR="0061648C">
          <w:instrText xml:space="preserve"> PAGEREF _Toc6603 \h </w:instrText>
        </w:r>
        <w:r w:rsidR="0061648C">
          <w:fldChar w:fldCharType="separate"/>
        </w:r>
        <w:r w:rsidR="0061648C">
          <w:t>3</w:t>
        </w:r>
        <w:r w:rsidR="0061648C">
          <w:fldChar w:fldCharType="end"/>
        </w:r>
      </w:hyperlink>
    </w:p>
    <w:p w:rsidR="007B2861" w:rsidRDefault="00DB65DA">
      <w:pPr>
        <w:pStyle w:val="20"/>
        <w:tabs>
          <w:tab w:val="right" w:leader="dot" w:pos="9184"/>
        </w:tabs>
      </w:pPr>
      <w:hyperlink w:anchor="_Toc21056" w:history="1">
        <w:r w:rsidR="0061648C">
          <w:rPr>
            <w:rFonts w:hint="eastAsia"/>
          </w:rPr>
          <w:t>（一）比率分析法</w:t>
        </w:r>
        <w:r w:rsidR="0061648C">
          <w:tab/>
        </w:r>
        <w:r w:rsidR="0061648C">
          <w:fldChar w:fldCharType="begin"/>
        </w:r>
        <w:r w:rsidR="0061648C">
          <w:instrText xml:space="preserve"> PAGEREF _Toc21056 \h </w:instrText>
        </w:r>
        <w:r w:rsidR="0061648C">
          <w:fldChar w:fldCharType="separate"/>
        </w:r>
        <w:r w:rsidR="0061648C">
          <w:t>3</w:t>
        </w:r>
        <w:r w:rsidR="0061648C">
          <w:fldChar w:fldCharType="end"/>
        </w:r>
      </w:hyperlink>
    </w:p>
    <w:p w:rsidR="007B2861" w:rsidRDefault="00DB65DA">
      <w:pPr>
        <w:pStyle w:val="20"/>
        <w:tabs>
          <w:tab w:val="right" w:leader="dot" w:pos="9184"/>
        </w:tabs>
      </w:pPr>
      <w:hyperlink w:anchor="_Toc11389" w:history="1">
        <w:r w:rsidR="0061648C">
          <w:rPr>
            <w:rFonts w:hint="eastAsia"/>
          </w:rPr>
          <w:t>（二）比较分析法</w:t>
        </w:r>
        <w:r w:rsidR="0061648C">
          <w:tab/>
        </w:r>
        <w:r w:rsidR="0061648C">
          <w:fldChar w:fldCharType="begin"/>
        </w:r>
        <w:r w:rsidR="0061648C">
          <w:instrText xml:space="preserve"> PAGEREF _Toc11389 \h </w:instrText>
        </w:r>
        <w:r w:rsidR="0061648C">
          <w:fldChar w:fldCharType="separate"/>
        </w:r>
        <w:r w:rsidR="0061648C">
          <w:t>3</w:t>
        </w:r>
        <w:r w:rsidR="0061648C">
          <w:fldChar w:fldCharType="end"/>
        </w:r>
      </w:hyperlink>
    </w:p>
    <w:p w:rsidR="007B2861" w:rsidRDefault="00DB65DA">
      <w:pPr>
        <w:pStyle w:val="20"/>
        <w:tabs>
          <w:tab w:val="right" w:leader="dot" w:pos="9184"/>
        </w:tabs>
      </w:pPr>
      <w:hyperlink w:anchor="_Toc28836" w:history="1">
        <w:r w:rsidR="0061648C">
          <w:rPr>
            <w:rFonts w:hint="eastAsia"/>
          </w:rPr>
          <w:t>（三）</w:t>
        </w:r>
        <w:r w:rsidR="0061648C">
          <w:rPr>
            <w:rFonts w:hint="eastAsia"/>
          </w:rPr>
          <w:t xml:space="preserve"> </w:t>
        </w:r>
        <w:r w:rsidR="0061648C">
          <w:rPr>
            <w:rFonts w:hint="eastAsia"/>
          </w:rPr>
          <w:t>因素分析法</w:t>
        </w:r>
        <w:r w:rsidR="0061648C">
          <w:tab/>
        </w:r>
        <w:r w:rsidR="0061648C">
          <w:fldChar w:fldCharType="begin"/>
        </w:r>
        <w:r w:rsidR="0061648C">
          <w:instrText xml:space="preserve"> PAGEREF _Toc28836 \h </w:instrText>
        </w:r>
        <w:r w:rsidR="0061648C">
          <w:fldChar w:fldCharType="separate"/>
        </w:r>
        <w:r w:rsidR="0061648C">
          <w:t>4</w:t>
        </w:r>
        <w:r w:rsidR="0061648C">
          <w:fldChar w:fldCharType="end"/>
        </w:r>
      </w:hyperlink>
    </w:p>
    <w:p w:rsidR="007B2861" w:rsidRDefault="00DB65DA">
      <w:pPr>
        <w:pStyle w:val="10"/>
        <w:tabs>
          <w:tab w:val="clear" w:pos="8892"/>
          <w:tab w:val="right" w:leader="dot" w:pos="9184"/>
        </w:tabs>
      </w:pPr>
      <w:hyperlink w:anchor="_Toc21129" w:history="1">
        <w:r w:rsidR="0061648C">
          <w:rPr>
            <w:rFonts w:hint="eastAsia"/>
          </w:rPr>
          <w:t>三、比亚迪公司概况</w:t>
        </w:r>
        <w:r w:rsidR="0061648C">
          <w:tab/>
        </w:r>
        <w:r w:rsidR="0061648C">
          <w:fldChar w:fldCharType="begin"/>
        </w:r>
        <w:r w:rsidR="0061648C">
          <w:instrText xml:space="preserve"> PAGEREF _Toc21129 \h </w:instrText>
        </w:r>
        <w:r w:rsidR="0061648C">
          <w:fldChar w:fldCharType="separate"/>
        </w:r>
        <w:r w:rsidR="0061648C">
          <w:t>4</w:t>
        </w:r>
        <w:r w:rsidR="0061648C">
          <w:fldChar w:fldCharType="end"/>
        </w:r>
      </w:hyperlink>
    </w:p>
    <w:p w:rsidR="007B2861" w:rsidRDefault="00DB65DA">
      <w:pPr>
        <w:pStyle w:val="10"/>
        <w:tabs>
          <w:tab w:val="clear" w:pos="8892"/>
          <w:tab w:val="right" w:leader="dot" w:pos="9184"/>
        </w:tabs>
      </w:pPr>
      <w:hyperlink w:anchor="_Toc27904" w:history="1">
        <w:r w:rsidR="0061648C">
          <w:rPr>
            <w:rFonts w:hint="eastAsia"/>
          </w:rPr>
          <w:t>四、比亚迪公司概况财务状况问题分析</w:t>
        </w:r>
        <w:r w:rsidR="0061648C">
          <w:tab/>
        </w:r>
        <w:r w:rsidR="0061648C">
          <w:fldChar w:fldCharType="begin"/>
        </w:r>
        <w:r w:rsidR="0061648C">
          <w:instrText xml:space="preserve"> PAGEREF _Toc27904 \h </w:instrText>
        </w:r>
        <w:r w:rsidR="0061648C">
          <w:fldChar w:fldCharType="separate"/>
        </w:r>
        <w:r w:rsidR="0061648C">
          <w:t>5</w:t>
        </w:r>
        <w:r w:rsidR="0061648C">
          <w:fldChar w:fldCharType="end"/>
        </w:r>
      </w:hyperlink>
    </w:p>
    <w:p w:rsidR="007B2861" w:rsidRDefault="00DB65DA">
      <w:pPr>
        <w:pStyle w:val="20"/>
        <w:tabs>
          <w:tab w:val="right" w:leader="dot" w:pos="9184"/>
        </w:tabs>
      </w:pPr>
      <w:hyperlink w:anchor="_Toc15260" w:history="1">
        <w:r w:rsidR="0061648C">
          <w:rPr>
            <w:rFonts w:hint="eastAsia"/>
          </w:rPr>
          <w:t>（一）营运能力有限</w:t>
        </w:r>
        <w:r w:rsidR="0061648C">
          <w:tab/>
        </w:r>
        <w:r w:rsidR="0061648C">
          <w:fldChar w:fldCharType="begin"/>
        </w:r>
        <w:r w:rsidR="0061648C">
          <w:instrText xml:space="preserve"> PAGEREF _Toc15260 \h </w:instrText>
        </w:r>
        <w:r w:rsidR="0061648C">
          <w:fldChar w:fldCharType="separate"/>
        </w:r>
        <w:r w:rsidR="0061648C">
          <w:t>5</w:t>
        </w:r>
        <w:r w:rsidR="0061648C">
          <w:fldChar w:fldCharType="end"/>
        </w:r>
      </w:hyperlink>
    </w:p>
    <w:p w:rsidR="007B2861" w:rsidRDefault="00DB65DA">
      <w:pPr>
        <w:pStyle w:val="20"/>
        <w:tabs>
          <w:tab w:val="right" w:leader="dot" w:pos="9184"/>
        </w:tabs>
      </w:pPr>
      <w:hyperlink w:anchor="_Toc6769" w:history="1">
        <w:r w:rsidR="0061648C">
          <w:rPr>
            <w:rFonts w:hint="eastAsia"/>
          </w:rPr>
          <w:t>（二）盈利能力呈下降趋势</w:t>
        </w:r>
        <w:r w:rsidR="0061648C">
          <w:tab/>
        </w:r>
        <w:r w:rsidR="0061648C">
          <w:fldChar w:fldCharType="begin"/>
        </w:r>
        <w:r w:rsidR="0061648C">
          <w:instrText xml:space="preserve"> PAGEREF _Toc6769 \h </w:instrText>
        </w:r>
        <w:r w:rsidR="0061648C">
          <w:fldChar w:fldCharType="separate"/>
        </w:r>
        <w:r w:rsidR="0061648C">
          <w:t>5</w:t>
        </w:r>
        <w:r w:rsidR="0061648C">
          <w:fldChar w:fldCharType="end"/>
        </w:r>
      </w:hyperlink>
    </w:p>
    <w:p w:rsidR="007B2861" w:rsidRDefault="00DB65DA">
      <w:pPr>
        <w:pStyle w:val="20"/>
        <w:tabs>
          <w:tab w:val="right" w:leader="dot" w:pos="9184"/>
        </w:tabs>
      </w:pPr>
      <w:hyperlink w:anchor="_Toc28639" w:history="1">
        <w:r w:rsidR="0061648C">
          <w:rPr>
            <w:rFonts w:hint="eastAsia"/>
          </w:rPr>
          <w:t>（三）成长能力波动较大</w:t>
        </w:r>
        <w:r w:rsidR="0061648C">
          <w:tab/>
        </w:r>
        <w:r w:rsidR="0061648C">
          <w:fldChar w:fldCharType="begin"/>
        </w:r>
        <w:r w:rsidR="0061648C">
          <w:instrText xml:space="preserve"> PAGEREF _Toc28639 \h </w:instrText>
        </w:r>
        <w:r w:rsidR="0061648C">
          <w:fldChar w:fldCharType="separate"/>
        </w:r>
        <w:r w:rsidR="0061648C">
          <w:t>6</w:t>
        </w:r>
        <w:r w:rsidR="0061648C">
          <w:fldChar w:fldCharType="end"/>
        </w:r>
      </w:hyperlink>
    </w:p>
    <w:p w:rsidR="007B2861" w:rsidRDefault="00DB65DA">
      <w:pPr>
        <w:pStyle w:val="10"/>
        <w:tabs>
          <w:tab w:val="clear" w:pos="8892"/>
          <w:tab w:val="right" w:leader="dot" w:pos="9184"/>
        </w:tabs>
      </w:pPr>
      <w:hyperlink w:anchor="_Toc25600" w:history="1">
        <w:r w:rsidR="0061648C">
          <w:rPr>
            <w:rFonts w:hint="eastAsia"/>
          </w:rPr>
          <w:t>五、比亚迪公司概况财务状况原因分析</w:t>
        </w:r>
        <w:r w:rsidR="0061648C">
          <w:tab/>
        </w:r>
        <w:r w:rsidR="0061648C">
          <w:fldChar w:fldCharType="begin"/>
        </w:r>
        <w:r w:rsidR="0061648C">
          <w:instrText xml:space="preserve"> PAGEREF _Toc25600 \h </w:instrText>
        </w:r>
        <w:r w:rsidR="0061648C">
          <w:fldChar w:fldCharType="separate"/>
        </w:r>
        <w:r w:rsidR="0061648C">
          <w:t>7</w:t>
        </w:r>
        <w:r w:rsidR="0061648C">
          <w:fldChar w:fldCharType="end"/>
        </w:r>
      </w:hyperlink>
    </w:p>
    <w:p w:rsidR="007B2861" w:rsidRDefault="00DB65DA">
      <w:pPr>
        <w:pStyle w:val="20"/>
        <w:tabs>
          <w:tab w:val="right" w:leader="dot" w:pos="9184"/>
        </w:tabs>
      </w:pPr>
      <w:hyperlink w:anchor="_Toc3024" w:history="1">
        <w:r w:rsidR="0061648C">
          <w:rPr>
            <w:rFonts w:hint="eastAsia"/>
          </w:rPr>
          <w:t>（一）“垂直整合模式”战略方式较为封闭</w:t>
        </w:r>
        <w:r w:rsidR="0061648C">
          <w:tab/>
        </w:r>
        <w:r w:rsidR="0061648C">
          <w:fldChar w:fldCharType="begin"/>
        </w:r>
        <w:r w:rsidR="0061648C">
          <w:instrText xml:space="preserve"> PAGEREF _Toc3024 \h </w:instrText>
        </w:r>
        <w:r w:rsidR="0061648C">
          <w:fldChar w:fldCharType="separate"/>
        </w:r>
        <w:r w:rsidR="0061648C">
          <w:t>7</w:t>
        </w:r>
        <w:r w:rsidR="0061648C">
          <w:fldChar w:fldCharType="end"/>
        </w:r>
      </w:hyperlink>
    </w:p>
    <w:p w:rsidR="007B2861" w:rsidRDefault="00DB65DA">
      <w:pPr>
        <w:pStyle w:val="20"/>
        <w:tabs>
          <w:tab w:val="right" w:leader="dot" w:pos="9184"/>
        </w:tabs>
      </w:pPr>
      <w:hyperlink w:anchor="_Toc9080" w:history="1">
        <w:r w:rsidR="0061648C">
          <w:rPr>
            <w:rFonts w:hint="eastAsia"/>
          </w:rPr>
          <w:t>（二）政府补贴全面退坡，利润大幅受损</w:t>
        </w:r>
        <w:r w:rsidR="0061648C">
          <w:tab/>
        </w:r>
        <w:r w:rsidR="0061648C">
          <w:fldChar w:fldCharType="begin"/>
        </w:r>
        <w:r w:rsidR="0061648C">
          <w:instrText xml:space="preserve"> PAGEREF _Toc9080 \h </w:instrText>
        </w:r>
        <w:r w:rsidR="0061648C">
          <w:fldChar w:fldCharType="separate"/>
        </w:r>
        <w:r w:rsidR="0061648C">
          <w:t>7</w:t>
        </w:r>
        <w:r w:rsidR="0061648C">
          <w:fldChar w:fldCharType="end"/>
        </w:r>
      </w:hyperlink>
    </w:p>
    <w:p w:rsidR="007B2861" w:rsidRDefault="00DB65DA">
      <w:pPr>
        <w:pStyle w:val="20"/>
        <w:tabs>
          <w:tab w:val="right" w:leader="dot" w:pos="9184"/>
        </w:tabs>
      </w:pPr>
      <w:hyperlink w:anchor="_Toc7212" w:history="1">
        <w:r w:rsidR="0061648C">
          <w:rPr>
            <w:rFonts w:hint="eastAsia"/>
          </w:rPr>
          <w:t>（三）核心业务不突出</w:t>
        </w:r>
        <w:r w:rsidR="0061648C">
          <w:tab/>
        </w:r>
        <w:r w:rsidR="0061648C">
          <w:fldChar w:fldCharType="begin"/>
        </w:r>
        <w:r w:rsidR="0061648C">
          <w:instrText xml:space="preserve"> PAGEREF _Toc7212 \h </w:instrText>
        </w:r>
        <w:r w:rsidR="0061648C">
          <w:fldChar w:fldCharType="separate"/>
        </w:r>
        <w:r w:rsidR="0061648C">
          <w:t>8</w:t>
        </w:r>
        <w:r w:rsidR="0061648C">
          <w:fldChar w:fldCharType="end"/>
        </w:r>
      </w:hyperlink>
    </w:p>
    <w:p w:rsidR="007B2861" w:rsidRDefault="00DB65DA">
      <w:pPr>
        <w:pStyle w:val="10"/>
        <w:tabs>
          <w:tab w:val="clear" w:pos="8892"/>
          <w:tab w:val="right" w:leader="dot" w:pos="9184"/>
        </w:tabs>
      </w:pPr>
      <w:hyperlink w:anchor="_Toc27705" w:history="1">
        <w:r w:rsidR="0061648C">
          <w:rPr>
            <w:rFonts w:hint="eastAsia"/>
          </w:rPr>
          <w:t>六、比亚迪未来发展建议</w:t>
        </w:r>
        <w:r w:rsidR="0061648C">
          <w:tab/>
        </w:r>
        <w:r w:rsidR="0061648C">
          <w:fldChar w:fldCharType="begin"/>
        </w:r>
        <w:r w:rsidR="0061648C">
          <w:instrText xml:space="preserve"> PAGEREF _Toc27705 \h </w:instrText>
        </w:r>
        <w:r w:rsidR="0061648C">
          <w:fldChar w:fldCharType="separate"/>
        </w:r>
        <w:r w:rsidR="0061648C">
          <w:t>8</w:t>
        </w:r>
        <w:r w:rsidR="0061648C">
          <w:fldChar w:fldCharType="end"/>
        </w:r>
      </w:hyperlink>
    </w:p>
    <w:p w:rsidR="007B2861" w:rsidRDefault="00DB65DA">
      <w:pPr>
        <w:pStyle w:val="20"/>
        <w:tabs>
          <w:tab w:val="right" w:leader="dot" w:pos="9184"/>
        </w:tabs>
      </w:pPr>
      <w:hyperlink w:anchor="_Toc8707" w:history="1">
        <w:r w:rsidR="0061648C">
          <w:rPr>
            <w:rFonts w:hint="eastAsia"/>
          </w:rPr>
          <w:t>（一）合理利用政府补助，把握未来发展趋势</w:t>
        </w:r>
        <w:r w:rsidR="0061648C">
          <w:tab/>
        </w:r>
        <w:r w:rsidR="0061648C">
          <w:fldChar w:fldCharType="begin"/>
        </w:r>
        <w:r w:rsidR="0061648C">
          <w:instrText xml:space="preserve"> PAGEREF _Toc8707 \h </w:instrText>
        </w:r>
        <w:r w:rsidR="0061648C">
          <w:fldChar w:fldCharType="separate"/>
        </w:r>
        <w:r w:rsidR="0061648C">
          <w:t>9</w:t>
        </w:r>
        <w:r w:rsidR="0061648C">
          <w:fldChar w:fldCharType="end"/>
        </w:r>
      </w:hyperlink>
    </w:p>
    <w:p w:rsidR="007B2861" w:rsidRDefault="00DB65DA">
      <w:pPr>
        <w:pStyle w:val="20"/>
        <w:tabs>
          <w:tab w:val="right" w:leader="dot" w:pos="9184"/>
        </w:tabs>
      </w:pPr>
      <w:hyperlink w:anchor="_Toc20867" w:history="1">
        <w:r w:rsidR="0061648C">
          <w:rPr>
            <w:rFonts w:hint="eastAsia"/>
          </w:rPr>
          <w:t>（二）坚持“垂直整合模式”的同时“开放生态”</w:t>
        </w:r>
        <w:r w:rsidR="0061648C">
          <w:tab/>
        </w:r>
        <w:r w:rsidR="0061648C">
          <w:fldChar w:fldCharType="begin"/>
        </w:r>
        <w:r w:rsidR="0061648C">
          <w:instrText xml:space="preserve"> PAGEREF _Toc20867 \h </w:instrText>
        </w:r>
        <w:r w:rsidR="0061648C">
          <w:fldChar w:fldCharType="separate"/>
        </w:r>
        <w:r w:rsidR="0061648C">
          <w:t>9</w:t>
        </w:r>
        <w:r w:rsidR="0061648C">
          <w:fldChar w:fldCharType="end"/>
        </w:r>
      </w:hyperlink>
    </w:p>
    <w:p w:rsidR="007B2861" w:rsidRDefault="00DB65DA">
      <w:pPr>
        <w:pStyle w:val="20"/>
        <w:tabs>
          <w:tab w:val="right" w:leader="dot" w:pos="9184"/>
        </w:tabs>
      </w:pPr>
      <w:hyperlink w:anchor="_Toc18523" w:history="1">
        <w:r w:rsidR="0061648C">
          <w:rPr>
            <w:rFonts w:hint="eastAsia"/>
          </w:rPr>
          <w:t>（三）专注核心业务，提高市场竞争力</w:t>
        </w:r>
        <w:r w:rsidR="0061648C">
          <w:tab/>
        </w:r>
        <w:r w:rsidR="0061648C">
          <w:fldChar w:fldCharType="begin"/>
        </w:r>
        <w:r w:rsidR="0061648C">
          <w:instrText xml:space="preserve"> PAGEREF _Toc18523 \h </w:instrText>
        </w:r>
        <w:r w:rsidR="0061648C">
          <w:fldChar w:fldCharType="separate"/>
        </w:r>
        <w:r w:rsidR="0061648C">
          <w:t>9</w:t>
        </w:r>
        <w:r w:rsidR="0061648C">
          <w:fldChar w:fldCharType="end"/>
        </w:r>
      </w:hyperlink>
    </w:p>
    <w:p w:rsidR="007B2861" w:rsidRDefault="00DB65DA">
      <w:pPr>
        <w:pStyle w:val="10"/>
        <w:tabs>
          <w:tab w:val="clear" w:pos="8892"/>
          <w:tab w:val="right" w:leader="dot" w:pos="9184"/>
        </w:tabs>
      </w:pPr>
      <w:hyperlink w:anchor="_Toc11257" w:history="1">
        <w:r w:rsidR="0061648C">
          <w:rPr>
            <w:rFonts w:hint="eastAsia"/>
          </w:rPr>
          <w:t>结语</w:t>
        </w:r>
        <w:r w:rsidR="0061648C">
          <w:tab/>
        </w:r>
        <w:r w:rsidR="0061648C">
          <w:fldChar w:fldCharType="begin"/>
        </w:r>
        <w:r w:rsidR="0061648C">
          <w:instrText xml:space="preserve"> PAGEREF _Toc11257 \h </w:instrText>
        </w:r>
        <w:r w:rsidR="0061648C">
          <w:fldChar w:fldCharType="separate"/>
        </w:r>
        <w:r w:rsidR="0061648C">
          <w:t>10</w:t>
        </w:r>
        <w:r w:rsidR="0061648C">
          <w:fldChar w:fldCharType="end"/>
        </w:r>
      </w:hyperlink>
    </w:p>
    <w:p w:rsidR="007B2861" w:rsidRDefault="00DB65DA">
      <w:pPr>
        <w:pStyle w:val="10"/>
        <w:tabs>
          <w:tab w:val="clear" w:pos="8892"/>
          <w:tab w:val="right" w:leader="dot" w:pos="9184"/>
        </w:tabs>
      </w:pPr>
      <w:hyperlink w:anchor="_Toc24601" w:history="1">
        <w:r w:rsidR="0061648C">
          <w:t>致谢</w:t>
        </w:r>
        <w:r w:rsidR="0061648C">
          <w:tab/>
        </w:r>
        <w:r w:rsidR="0061648C">
          <w:fldChar w:fldCharType="begin"/>
        </w:r>
        <w:r w:rsidR="0061648C">
          <w:instrText xml:space="preserve"> PAGEREF _Toc24601 \h </w:instrText>
        </w:r>
        <w:r w:rsidR="0061648C">
          <w:fldChar w:fldCharType="separate"/>
        </w:r>
        <w:r w:rsidR="0061648C">
          <w:t>12</w:t>
        </w:r>
        <w:r w:rsidR="0061648C">
          <w:fldChar w:fldCharType="end"/>
        </w:r>
      </w:hyperlink>
    </w:p>
    <w:p w:rsidR="007B2861" w:rsidRDefault="0061648C">
      <w:pPr>
        <w:spacing w:line="500" w:lineRule="exact"/>
        <w:ind w:right="960"/>
        <w:rPr>
          <w:rFonts w:ascii="宋体" w:hAnsi="宋体"/>
          <w:sz w:val="24"/>
        </w:rPr>
      </w:pPr>
      <w:r>
        <w:rPr>
          <w:rFonts w:ascii="黑体" w:eastAsia="黑体" w:hAnsi="黑体"/>
        </w:rPr>
        <w:fldChar w:fldCharType="end"/>
      </w: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61648C" w:rsidP="009A54F9">
      <w:pPr>
        <w:pStyle w:val="0"/>
        <w:spacing w:before="312" w:after="312"/>
        <w:jc w:val="center"/>
      </w:pPr>
      <w:bookmarkStart w:id="0" w:name="_Toc19400"/>
      <w:bookmarkStart w:id="1" w:name="_Toc8719245"/>
      <w:r>
        <w:rPr>
          <w:rFonts w:hint="eastAsia"/>
        </w:rPr>
        <w:lastRenderedPageBreak/>
        <w:t>前言</w:t>
      </w:r>
      <w:bookmarkEnd w:id="0"/>
    </w:p>
    <w:p w:rsidR="007B2861" w:rsidRDefault="0061648C">
      <w:pPr>
        <w:pStyle w:val="02"/>
      </w:pPr>
      <w:r>
        <w:rPr>
          <w:rFonts w:hint="eastAsia"/>
        </w:rPr>
        <w:t xml:space="preserve">近年来，随着工业和经济发展，燃油汽车大量增加，导致严重的大气污染。政府为减少大气污染，改善当前的环境，大力推动新能源汽车的工业的发展。其中，比亚迪是发展新能源汽车的一大企业，本文将选择比亚迪汽车集团作为研究对象，通过对企业的财务报表的分析，可以使企业对比亚迪的生产、运营情况及发展前景有一个全面、准确的认识。比亚迪公司是一家非常成功的企业，能够在发展中正确地意识到自身存在的问题，通过垂直一体化的方式来提升和改进整个行业。　　</w:t>
      </w:r>
    </w:p>
    <w:p w:rsidR="007B2861" w:rsidRDefault="0061648C">
      <w:pPr>
        <w:pStyle w:val="02"/>
      </w:pPr>
      <w:r>
        <w:rPr>
          <w:rFonts w:hint="eastAsia"/>
        </w:rPr>
        <w:t>基于此，在本文中对对比亚迪集团进行深入讨论。</w:t>
      </w:r>
    </w:p>
    <w:p w:rsidR="007B2861" w:rsidRDefault="0061648C" w:rsidP="009A54F9">
      <w:pPr>
        <w:pStyle w:val="0"/>
        <w:spacing w:before="312" w:after="312"/>
      </w:pPr>
      <w:bookmarkStart w:id="2" w:name="_Toc14989"/>
      <w:r>
        <w:rPr>
          <w:rFonts w:hint="eastAsia"/>
        </w:rPr>
        <w:t>一、绪论</w:t>
      </w:r>
      <w:bookmarkEnd w:id="1"/>
      <w:bookmarkEnd w:id="2"/>
    </w:p>
    <w:p w:rsidR="007B2861" w:rsidRDefault="0061648C">
      <w:pPr>
        <w:pStyle w:val="00"/>
      </w:pPr>
      <w:bookmarkStart w:id="3" w:name="_Toc8719246"/>
      <w:bookmarkStart w:id="4" w:name="_Toc30963"/>
      <w:r>
        <w:rPr>
          <w:rFonts w:hint="eastAsia"/>
        </w:rPr>
        <w:t>（一）选题背景</w:t>
      </w:r>
      <w:bookmarkEnd w:id="3"/>
      <w:bookmarkEnd w:id="4"/>
    </w:p>
    <w:p w:rsidR="007B2861" w:rsidRDefault="0061648C">
      <w:pPr>
        <w:pStyle w:val="02"/>
      </w:pPr>
      <w:r>
        <w:rPr>
          <w:rFonts w:hint="eastAsia"/>
        </w:rPr>
        <w:t>随着工业和经济发展，燃油汽车得到了大量增加，而在汽车业中，废气等也是造成大气污染的主要原因，政府对燃油汽车的种种管制，也使得汽车业必须面对最严重的环境问题。从“十二五”起，我国正式列入了战略性新兴工业领域。政府要用政策来引导新能源汽车工业的发展。到了今年年底，光是国务院就新推出了40个新能源汽车扶持政策，其中就有购买补助和车辆减免的优惠的政策。新能源汽车与传统燃油汽车相比，这是一个全新领域，其发展前景广阔，但其发展速度也十分迅猛，但在发展过程中出现的财务问题却是一个亟待解决的问题。所以，汽车企业能否取得成功，取决于能否保持可持续的利润。盈利性是公司的经济根基，一个公司必须具备较强的盈利性，这样的公司就能够承担得起巨额的研究经费，并在激烈的市场中占据一席之地。本文选择了比亚迪公司作为一个典型的例子，它是从03年开始从事 IT行业的，现在新能源汽车已经是它的主要业务。根据2018-2021年的世界新能源车销售情况，我们可以看到，特斯拉仅在世界排名第一，而比亚迪则是世界第二。所以在销量方面，比亚迪堪称国内新能源汽车的“领跑企业”。</w:t>
      </w:r>
    </w:p>
    <w:p w:rsidR="007B2861" w:rsidRDefault="0061648C">
      <w:pPr>
        <w:pStyle w:val="02"/>
      </w:pPr>
      <w:r>
        <w:rPr>
          <w:rFonts w:hint="eastAsia"/>
        </w:rPr>
        <w:t>本文选择比亚迪汽车集团作为研究对象，通过对其财务报表和经营行为的分析，发现其存在的问题并提出了应对措施。比亚迪公司是一家非常成功的企业，能够在发展中正确地意识到自身存在的问题，通过垂直一体化的方式来提升和改进整个行业。比亚迪汽车已经慢慢进入全球市场，并以此为基础，在此转型和提升中，降低了生产成本的费</w:t>
      </w:r>
      <w:r>
        <w:rPr>
          <w:rFonts w:hint="eastAsia"/>
        </w:rPr>
        <w:lastRenderedPageBreak/>
        <w:t>用。通过扩大企业盈利的范围，使企业的资金得到最大程度的优化。但目前也存在着一定的缺陷，在发展壮大的过程中，曾经由于资金的缺乏，导致比亚迪的发展受到了很大的阻碍。本文从财务报表的角度对比亚迪进行了深刻分析，并给出了相应的应对措施。</w:t>
      </w:r>
    </w:p>
    <w:p w:rsidR="007B2861" w:rsidRDefault="0061648C">
      <w:pPr>
        <w:pStyle w:val="00"/>
      </w:pPr>
      <w:bookmarkStart w:id="5" w:name="_Toc8719247"/>
      <w:bookmarkStart w:id="6" w:name="_Toc31441"/>
      <w:r>
        <w:rPr>
          <w:rFonts w:hint="eastAsia"/>
        </w:rPr>
        <w:t>（二）研究目的</w:t>
      </w:r>
      <w:bookmarkEnd w:id="5"/>
      <w:bookmarkEnd w:id="6"/>
    </w:p>
    <w:p w:rsidR="007B2861" w:rsidRDefault="0061648C">
      <w:pPr>
        <w:pStyle w:val="02"/>
      </w:pPr>
      <w:r>
        <w:rPr>
          <w:rFonts w:hint="eastAsia"/>
        </w:rPr>
        <w:t>本文以比亚迪公司为主线，全面分析了在会计报表中所揭示的问题，并从多个角度给出了符合逻辑的解决方案，比亚迪公司应该能够正确地意识到自己的问题，并制定出科学、理性的应对措施，才能使比亚迪公司走向更大的辉煌。通过对企业的财务报表的分析，可以使企业对比亚迪的生产、运营情况及发展前景有一个全面、准确的认识。</w:t>
      </w:r>
    </w:p>
    <w:p w:rsidR="007B2861" w:rsidRDefault="0061648C">
      <w:pPr>
        <w:pStyle w:val="00"/>
      </w:pPr>
      <w:bookmarkStart w:id="7" w:name="_Toc8719249"/>
      <w:bookmarkStart w:id="8" w:name="_Toc26233"/>
      <w:r>
        <w:rPr>
          <w:rFonts w:hint="eastAsia"/>
        </w:rPr>
        <w:t>（三）研究思路</w:t>
      </w:r>
      <w:bookmarkEnd w:id="7"/>
      <w:bookmarkEnd w:id="8"/>
    </w:p>
    <w:p w:rsidR="007B2861" w:rsidRDefault="0061648C">
      <w:pPr>
        <w:pStyle w:val="02"/>
      </w:pPr>
      <w:r>
        <w:rPr>
          <w:rFonts w:hint="eastAsia"/>
        </w:rPr>
        <w:t>首先，本文选择了比亚迪公司多年的财政资料，从不同角度对公司三大报表进行了全面的分析。其次，对企业的负债状况、经营能力、盈利能力和发展能力进行了评估。然后，选取了一些具有代表性的汽车企业与比亚迪进行的垂直和横向比较中。最后，在此基础上，本文对“比亚迪公司”的不同层面进行了总结，并据此对公司未来的发展进行了一个大胆的展望，同时也为公司的政策制定者和广大的投资人提供了一些意见。</w:t>
      </w:r>
    </w:p>
    <w:p w:rsidR="007B2861" w:rsidRDefault="0061648C">
      <w:pPr>
        <w:pStyle w:val="00"/>
      </w:pPr>
      <w:bookmarkStart w:id="9" w:name="_Toc8719250"/>
      <w:bookmarkStart w:id="10" w:name="_Toc5737"/>
      <w:r>
        <w:rPr>
          <w:rFonts w:hint="eastAsia"/>
        </w:rPr>
        <w:t>（四）研究方法</w:t>
      </w:r>
      <w:bookmarkEnd w:id="9"/>
      <w:bookmarkEnd w:id="10"/>
    </w:p>
    <w:p w:rsidR="007B2861" w:rsidRDefault="0061648C">
      <w:pPr>
        <w:pStyle w:val="02"/>
      </w:pPr>
      <w:r>
        <w:rPr>
          <w:rFonts w:hint="eastAsia"/>
        </w:rPr>
        <w:t>本文所采用的研究方法主要有以下三种:</w:t>
      </w:r>
    </w:p>
    <w:p w:rsidR="007B2861" w:rsidRDefault="0061648C">
      <w:pPr>
        <w:pStyle w:val="02"/>
      </w:pPr>
      <w:r>
        <w:rPr>
          <w:rFonts w:hint="eastAsia"/>
        </w:rPr>
        <w:t>1.理论分析。本论文将会计学、财务管理与经济学的基本原理结合起来，对比亚迪公司的财务策略与财务报表进行了较为全面的研究。</w:t>
      </w:r>
    </w:p>
    <w:p w:rsidR="007B2861" w:rsidRDefault="0061648C">
      <w:pPr>
        <w:pStyle w:val="02"/>
      </w:pPr>
      <w:r>
        <w:rPr>
          <w:rFonts w:hint="eastAsia"/>
        </w:rPr>
        <w:t>2.案例分析。本论文选择比亚迪公司为例，采用经济学的分析理论框架，以体现公司发展战略的作用。</w:t>
      </w:r>
    </w:p>
    <w:p w:rsidR="007B2861" w:rsidRDefault="0061648C">
      <w:pPr>
        <w:pStyle w:val="02"/>
      </w:pPr>
      <w:r>
        <w:rPr>
          <w:rFonts w:hint="eastAsia"/>
        </w:rPr>
        <w:t>3.比较分析。在财务分析中，我们选择了一些具有代表性的汽车企业与比亚迪进行了对比研究。</w:t>
      </w:r>
    </w:p>
    <w:p w:rsidR="007B2861" w:rsidRDefault="0061648C" w:rsidP="009A54F9">
      <w:pPr>
        <w:pStyle w:val="0"/>
        <w:spacing w:before="312" w:after="312"/>
      </w:pPr>
      <w:bookmarkStart w:id="11" w:name="_Toc6603"/>
      <w:r>
        <w:rPr>
          <w:rFonts w:hint="eastAsia"/>
        </w:rPr>
        <w:t>二、财务报表分析常用方法</w:t>
      </w:r>
      <w:bookmarkEnd w:id="11"/>
    </w:p>
    <w:p w:rsidR="007B2861" w:rsidRDefault="0061648C">
      <w:pPr>
        <w:pStyle w:val="00"/>
      </w:pPr>
      <w:bookmarkStart w:id="12" w:name="_Toc21056"/>
      <w:r>
        <w:rPr>
          <w:rFonts w:hint="eastAsia"/>
        </w:rPr>
        <w:t>（一）比率分析法</w:t>
      </w:r>
      <w:bookmarkEnd w:id="12"/>
    </w:p>
    <w:p w:rsidR="007B2861" w:rsidRDefault="0061648C">
      <w:pPr>
        <w:pStyle w:val="02"/>
      </w:pPr>
      <w:r>
        <w:rPr>
          <w:rFonts w:hint="eastAsia"/>
        </w:rPr>
        <w:t>比率分析法，它是利用特定的方法，对同一时间的会计报表中的有关事项进行分析，得出一套反映各方面的财务指标，并以此来揭示其所蕴涵的经济学意义，进而揭露公司的实际金融情况。</w:t>
      </w:r>
    </w:p>
    <w:p w:rsidR="007B2861" w:rsidRDefault="0061648C">
      <w:pPr>
        <w:pStyle w:val="00"/>
      </w:pPr>
      <w:bookmarkStart w:id="13" w:name="_Toc11389"/>
      <w:r>
        <w:rPr>
          <w:rFonts w:hint="eastAsia"/>
        </w:rPr>
        <w:lastRenderedPageBreak/>
        <w:t>（二）比较分析法</w:t>
      </w:r>
      <w:bookmarkEnd w:id="13"/>
    </w:p>
    <w:p w:rsidR="007B2861" w:rsidRDefault="0061648C">
      <w:pPr>
        <w:pStyle w:val="02"/>
      </w:pPr>
      <w:r>
        <w:rPr>
          <w:rFonts w:hint="eastAsia"/>
        </w:rPr>
        <w:t>比较分析法，是将某一公司的不同时间或不同公司的财务情况进行对比，以反映其在不同时间内的财务情况，从而反映公司的经营情况。</w:t>
      </w:r>
    </w:p>
    <w:p w:rsidR="007B2861" w:rsidRDefault="0061648C">
      <w:pPr>
        <w:pStyle w:val="02"/>
      </w:pPr>
      <w:r>
        <w:rPr>
          <w:rFonts w:hint="eastAsia"/>
        </w:rPr>
        <w:t>对比研究的效果是：通过对比和分析，能找到差距，找到形成差距的根源，进而判断公司的财政和运营结果，通过对比和分析可以得出公司的利润和投资的安全。</w:t>
      </w:r>
    </w:p>
    <w:p w:rsidR="007B2861" w:rsidRDefault="0061648C">
      <w:pPr>
        <w:pStyle w:val="00"/>
      </w:pPr>
      <w:bookmarkStart w:id="14" w:name="_Toc28836"/>
      <w:r>
        <w:rPr>
          <w:rFonts w:hint="eastAsia"/>
        </w:rPr>
        <w:t>（三） 因素分析法</w:t>
      </w:r>
      <w:bookmarkEnd w:id="14"/>
    </w:p>
    <w:p w:rsidR="007B2861" w:rsidRDefault="0061648C">
      <w:pPr>
        <w:pStyle w:val="02"/>
      </w:pPr>
      <w:r>
        <w:rPr>
          <w:rFonts w:hint="eastAsia"/>
        </w:rPr>
        <w:t>因素分析法，也就是所谓的“连环替代性”，是把经济评价指数与其激励因素的相互关联，把其划分成能够独立衡量的各种因素，用各个因素的对比数值代替基准值，从定量角度来判断各个因素对评价结果的作用。</w:t>
      </w:r>
    </w:p>
    <w:p w:rsidR="007B2861" w:rsidRDefault="0061648C">
      <w:pPr>
        <w:pStyle w:val="02"/>
      </w:pPr>
      <w:r>
        <w:rPr>
          <w:rFonts w:hint="eastAsia"/>
        </w:rPr>
        <w:t>本文以对比研究为主。本文选择了比亚迪、长城汽车、上汽集团三大品牌作为国内领先的三大品牌，以比亚迪为代表的市场份额与行业平均值进行对比，可以看出比亚迪前期与业内平均水平的差距。</w:t>
      </w:r>
    </w:p>
    <w:p w:rsidR="007B2861" w:rsidRDefault="0061648C" w:rsidP="009A54F9">
      <w:pPr>
        <w:pStyle w:val="0"/>
        <w:spacing w:before="312" w:after="312"/>
      </w:pPr>
      <w:bookmarkStart w:id="15" w:name="_Toc21129"/>
      <w:r>
        <w:rPr>
          <w:rFonts w:hint="eastAsia"/>
        </w:rPr>
        <w:t>三、比亚迪公司概况</w:t>
      </w:r>
      <w:bookmarkEnd w:id="15"/>
    </w:p>
    <w:p w:rsidR="007B2861" w:rsidRDefault="0061648C">
      <w:pPr>
        <w:pStyle w:val="02"/>
      </w:pPr>
      <w:r>
        <w:rPr>
          <w:rFonts w:hint="eastAsia"/>
        </w:rPr>
        <w:t>比亚迪股份有限公司创建于一九九五年，是香港的一间公开挂牌的高科技民营公司。现在比亚迪已经遍布国内，在广东、北京、山西、上海和其他地区拥有九个工厂，在世界各地拥有22个工厂，建筑面积1700万平米，其中包括美国、欧洲、日本、韩国、印度、台湾，在香港设立了分支机构或分支机构，拥有180,000多名雇员。</w:t>
      </w:r>
    </w:p>
    <w:p w:rsidR="007B2861" w:rsidRDefault="0061648C">
      <w:pPr>
        <w:pStyle w:val="02"/>
      </w:pPr>
      <w:r>
        <w:rPr>
          <w:rFonts w:hint="eastAsia"/>
        </w:rPr>
        <w:t>二○○二年七月三十一日。比亚迪公司于香港主板挂牌，创下54支H股的历史新高。比亚迪公司（股份：0285. HK）于2007年度成功地在香港主板挂牌，取得了良好的业绩。截至二零二一年末，</w:t>
      </w:r>
      <w:r>
        <w:rPr>
          <w:rFonts w:ascii="Segoe UI" w:eastAsia="Segoe UI" w:hAnsi="Segoe UI" w:cs="Segoe UI"/>
          <w:color w:val="3B3B3B"/>
          <w:sz w:val="27"/>
          <w:szCs w:val="27"/>
          <w:shd w:val="clear" w:color="auto" w:fill="FFFFFF"/>
        </w:rPr>
        <w:t>比亚迪总资产为29578014.7万元</w:t>
      </w:r>
      <w:r>
        <w:rPr>
          <w:rFonts w:hint="eastAsia"/>
        </w:rPr>
        <w:t>。中美能源（Berkshire）是巴菲特的伯克希尔哈撤韦（Berkshire）的下属公司，在2008年9月27日，以每股8港币的代价购买了比亚迪2.25亿股股票，相当于比亚迪此次发行后10%的股权，交易总金额约为18亿港元。</w:t>
      </w:r>
    </w:p>
    <w:p w:rsidR="007B2861" w:rsidRDefault="0061648C">
      <w:pPr>
        <w:pStyle w:val="02"/>
      </w:pPr>
      <w:r>
        <w:rPr>
          <w:rFonts w:hint="eastAsia"/>
        </w:rPr>
        <w:t>比亚迪目前拥有两大工业集群： IT工业和汽车工业。公司的 IT行业以充电电池、充电器、电声产品为主，连接器、液晶显示屏模组、塑料机械件、金属零件、五金电子产品、手机按键、键盘、软线路板、微电子产品等等。比亚迪是世界第二大电池生产商，</w:t>
      </w:r>
      <w:r>
        <w:rPr>
          <w:rFonts w:hint="eastAsia"/>
        </w:rPr>
        <w:lastRenderedPageBreak/>
        <w:t>其 IP及电子器件领域已经涵盖手机的全部核心配件和装配，镍电池、手机锂电池、手机按键等产品在世界上的占有率都已经达到第一位。</w:t>
      </w:r>
    </w:p>
    <w:p w:rsidR="007B2861" w:rsidRDefault="0061648C" w:rsidP="009A54F9">
      <w:pPr>
        <w:pStyle w:val="0"/>
        <w:spacing w:before="312" w:after="312"/>
      </w:pPr>
      <w:bookmarkStart w:id="16" w:name="_Toc27904"/>
      <w:bookmarkStart w:id="17" w:name="_Toc8719252"/>
      <w:r>
        <w:rPr>
          <w:rFonts w:hint="eastAsia"/>
        </w:rPr>
        <w:t>四、比亚迪公司概况</w:t>
      </w:r>
      <w:r>
        <w:rPr>
          <w:rStyle w:val="0Char"/>
          <w:rFonts w:hint="eastAsia"/>
          <w:b/>
        </w:rPr>
        <w:t>财务状况问题分析</w:t>
      </w:r>
      <w:bookmarkEnd w:id="16"/>
    </w:p>
    <w:p w:rsidR="007B2861" w:rsidRDefault="0061648C">
      <w:pPr>
        <w:pStyle w:val="00"/>
      </w:pPr>
      <w:bookmarkStart w:id="18" w:name="_Toc15260"/>
      <w:bookmarkEnd w:id="17"/>
      <w:r>
        <w:rPr>
          <w:rFonts w:hint="eastAsia"/>
        </w:rPr>
        <w:t>（一）营运能力有限</w:t>
      </w:r>
      <w:bookmarkEnd w:id="18"/>
    </w:p>
    <w:p w:rsidR="007B2861" w:rsidRDefault="0061648C">
      <w:pPr>
        <w:pStyle w:val="02"/>
      </w:pPr>
      <w:r>
        <w:rPr>
          <w:rFonts w:hint="eastAsia"/>
        </w:rPr>
        <w:t>从表4-1可以看到，比亚迪近四年的运营周转率都很平稳，四年内的平均运营周转率是2.80%，而2018年和2021年，长城汽车与上汽集团的平均数据是4.96和5.86，上汽集团在2019的6.63和5.86之间，2019年的运营资金周转率为6.63，是三大车企中最好的。但2018年之后，比亚迪的运营资金周转率骤降，从2018年的3.01，到2020年的2.84,2021年的2.98，四年来呈现总体下滑趋势。因此，比亚迪的运营资金也是比较吃紧的。</w:t>
      </w:r>
    </w:p>
    <w:p w:rsidR="007B2861" w:rsidRDefault="007B2861">
      <w:pPr>
        <w:pStyle w:val="02"/>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6"/>
      </w:tblGrid>
      <w:tr w:rsidR="007B2861">
        <w:trPr>
          <w:jc w:val="center"/>
        </w:trPr>
        <w:tc>
          <w:tcPr>
            <w:tcW w:w="8726" w:type="dxa"/>
          </w:tcPr>
          <w:tbl>
            <w:tblPr>
              <w:tblW w:w="8500" w:type="dxa"/>
              <w:tblCellMar>
                <w:top w:w="15" w:type="dxa"/>
                <w:left w:w="15" w:type="dxa"/>
                <w:bottom w:w="15" w:type="dxa"/>
                <w:right w:w="15" w:type="dxa"/>
              </w:tblCellMar>
              <w:tblLook w:val="04A0" w:firstRow="1" w:lastRow="0" w:firstColumn="1" w:lastColumn="0" w:noHBand="0" w:noVBand="1"/>
            </w:tblPr>
            <w:tblGrid>
              <w:gridCol w:w="1230"/>
              <w:gridCol w:w="810"/>
              <w:gridCol w:w="810"/>
              <w:gridCol w:w="973"/>
              <w:gridCol w:w="1134"/>
              <w:gridCol w:w="1275"/>
              <w:gridCol w:w="2268"/>
            </w:tblGrid>
            <w:tr w:rsidR="007B2861">
              <w:trPr>
                <w:trHeight w:val="693"/>
              </w:trPr>
              <w:tc>
                <w:tcPr>
                  <w:tcW w:w="1230" w:type="dxa"/>
                  <w:tcBorders>
                    <w:top w:val="single" w:sz="4" w:space="0" w:color="000000"/>
                    <w:left w:val="single" w:sz="4" w:space="0" w:color="000000"/>
                    <w:bottom w:val="single" w:sz="4" w:space="0" w:color="000000"/>
                    <w:right w:val="single" w:sz="4" w:space="0" w:color="000000"/>
                  </w:tcBorders>
                  <w:noWrap/>
                  <w:vAlign w:val="center"/>
                </w:tcPr>
                <w:p w:rsidR="007B2861" w:rsidRDefault="007B2861">
                  <w:pPr>
                    <w:widowControl/>
                    <w:jc w:val="center"/>
                    <w:rPr>
                      <w:rFonts w:ascii="宋体" w:hAnsi="宋体" w:cs="宋体"/>
                      <w:color w:val="000000"/>
                      <w:kern w:val="0"/>
                      <w:sz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2018年</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2019年</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2020年</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2021年</w:t>
                  </w: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平均</w:t>
                  </w: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行业平均</w:t>
                  </w:r>
                </w:p>
              </w:tc>
            </w:tr>
            <w:tr w:rsidR="007B2861">
              <w:trPr>
                <w:trHeight w:val="438"/>
              </w:trPr>
              <w:tc>
                <w:tcPr>
                  <w:tcW w:w="1230"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比亚迪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3.01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2.35</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2.84</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2.98</w:t>
                  </w: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2.8</w:t>
                  </w:r>
                </w:p>
              </w:tc>
              <w:tc>
                <w:tcPr>
                  <w:tcW w:w="2268" w:type="dxa"/>
                  <w:vMerge w:val="restart"/>
                  <w:tcBorders>
                    <w:top w:val="single" w:sz="4" w:space="0" w:color="000000"/>
                    <w:left w:val="single" w:sz="4" w:space="0" w:color="000000"/>
                    <w:right w:val="single" w:sz="4" w:space="0" w:color="000000"/>
                  </w:tcBorders>
                  <w:noWrap/>
                  <w:vAlign w:val="center"/>
                </w:tcPr>
                <w:p w:rsidR="007B2861" w:rsidRDefault="0061648C">
                  <w:pPr>
                    <w:jc w:val="center"/>
                    <w:rPr>
                      <w:rFonts w:ascii="宋体" w:hAnsi="宋体" w:cs="宋体"/>
                      <w:color w:val="000000"/>
                      <w:kern w:val="0"/>
                      <w:sz w:val="52"/>
                      <w:szCs w:val="52"/>
                    </w:rPr>
                  </w:pPr>
                  <w:r>
                    <w:rPr>
                      <w:rFonts w:ascii="宋体" w:hAnsi="宋体" w:cs="宋体" w:hint="eastAsia"/>
                      <w:color w:val="000000"/>
                      <w:kern w:val="0"/>
                      <w:sz w:val="24"/>
                    </w:rPr>
                    <w:t>4.16</w:t>
                  </w:r>
                </w:p>
              </w:tc>
            </w:tr>
            <w:tr w:rsidR="007B2861">
              <w:trPr>
                <w:trHeight w:val="495"/>
              </w:trPr>
              <w:tc>
                <w:tcPr>
                  <w:tcW w:w="1230"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长城汽车</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7.12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5.2</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3.83</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3.7</w:t>
                  </w: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4.96</w:t>
                  </w:r>
                </w:p>
              </w:tc>
              <w:tc>
                <w:tcPr>
                  <w:tcW w:w="2268" w:type="dxa"/>
                  <w:vMerge/>
                  <w:tcBorders>
                    <w:left w:val="single" w:sz="4" w:space="0" w:color="000000"/>
                    <w:right w:val="single" w:sz="4" w:space="0" w:color="000000"/>
                  </w:tcBorders>
                  <w:noWrap/>
                  <w:vAlign w:val="center"/>
                </w:tcPr>
                <w:p w:rsidR="007B2861" w:rsidRDefault="007B2861">
                  <w:pPr>
                    <w:widowControl/>
                    <w:jc w:val="center"/>
                    <w:rPr>
                      <w:rFonts w:ascii="宋体" w:hAnsi="宋体" w:cs="宋体"/>
                      <w:color w:val="000000"/>
                      <w:kern w:val="0"/>
                      <w:sz w:val="24"/>
                    </w:rPr>
                  </w:pPr>
                </w:p>
              </w:tc>
            </w:tr>
            <w:tr w:rsidR="007B2861">
              <w:trPr>
                <w:trHeight w:val="540"/>
              </w:trPr>
              <w:tc>
                <w:tcPr>
                  <w:tcW w:w="1230"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上汽集团</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6.42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6.63</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5.36</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5.02</w:t>
                  </w: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5.86</w:t>
                  </w:r>
                </w:p>
              </w:tc>
              <w:tc>
                <w:tcPr>
                  <w:tcW w:w="2268" w:type="dxa"/>
                  <w:vMerge/>
                  <w:tcBorders>
                    <w:left w:val="single" w:sz="4" w:space="0" w:color="000000"/>
                    <w:bottom w:val="single" w:sz="4" w:space="0" w:color="000000"/>
                    <w:right w:val="single" w:sz="4" w:space="0" w:color="000000"/>
                  </w:tcBorders>
                  <w:noWrap/>
                  <w:vAlign w:val="center"/>
                </w:tcPr>
                <w:p w:rsidR="007B2861" w:rsidRDefault="007B2861">
                  <w:pPr>
                    <w:widowControl/>
                    <w:jc w:val="center"/>
                    <w:rPr>
                      <w:rFonts w:ascii="宋体" w:hAnsi="宋体" w:cs="宋体"/>
                      <w:color w:val="000000"/>
                      <w:kern w:val="0"/>
                      <w:sz w:val="52"/>
                      <w:szCs w:val="52"/>
                    </w:rPr>
                  </w:pPr>
                </w:p>
              </w:tc>
            </w:tr>
          </w:tbl>
          <w:p w:rsidR="007B2861" w:rsidRDefault="007B2861">
            <w:pPr>
              <w:pStyle w:val="02"/>
            </w:pPr>
          </w:p>
        </w:tc>
      </w:tr>
    </w:tbl>
    <w:p w:rsidR="007B2861" w:rsidRDefault="0061648C">
      <w:pPr>
        <w:pStyle w:val="02"/>
        <w:ind w:firstLineChars="0" w:firstLine="0"/>
        <w:jc w:val="center"/>
      </w:pPr>
      <w:bookmarkStart w:id="19" w:name="_Toc110624267"/>
      <w:r>
        <w:rPr>
          <w:rFonts w:hint="eastAsia"/>
        </w:rPr>
        <w:t>表4-1比亚迪、长城汽车、上汽集团经营运营资本周转率</w:t>
      </w:r>
      <w:bookmarkEnd w:id="19"/>
    </w:p>
    <w:p w:rsidR="007B2861" w:rsidRDefault="0061648C">
      <w:pPr>
        <w:pStyle w:val="00"/>
      </w:pPr>
      <w:bookmarkStart w:id="20" w:name="_Toc6769"/>
      <w:r>
        <w:rPr>
          <w:rFonts w:hint="eastAsia"/>
        </w:rPr>
        <w:t>（二）盈利能力呈下降趋势</w:t>
      </w:r>
      <w:bookmarkEnd w:id="20"/>
    </w:p>
    <w:p w:rsidR="007B2861" w:rsidRDefault="0061648C">
      <w:pPr>
        <w:pStyle w:val="02"/>
      </w:pPr>
      <w:r>
        <w:t>比亚迪</w:t>
      </w:r>
      <w:r>
        <w:rPr>
          <w:rFonts w:hint="eastAsia"/>
        </w:rPr>
        <w:t>公司是多元化发展的公司，对于盈利能力而言。在业务范围内，</w:t>
      </w:r>
      <w:r>
        <w:t>比亚迪</w:t>
      </w:r>
      <w:r>
        <w:rPr>
          <w:rFonts w:hint="eastAsia"/>
        </w:rPr>
        <w:t>公司的盈利比非业务部门的盈利更大，因为非经营领域的亏损导致了公司的整体净利率下降。在2018年和2019年的净利润损失1800多万和1.18亿元，其中最主要的原因是金融领域的投资在这两年间分别损失7.26亿、2.06亿，在2021年甚至损失8.08亿元，由于2019年新会计准则出现，把资产与收益相关的政府补助也计算入其中，在2019年至2021年收到的政府补助款也受到了波动，从而影响损益。而比亚迪作为一家生产制造公司，其主营业务是以汽车生产为基础，其营业收入的净收益为财务报表中的净利润，因此，比较能够直观地体现公司在业务方面的盈利能力。</w:t>
      </w:r>
    </w:p>
    <w:p w:rsidR="007B2861" w:rsidRDefault="0061648C">
      <w:pPr>
        <w:pStyle w:val="02"/>
      </w:pPr>
      <w:r>
        <w:rPr>
          <w:rFonts w:hint="eastAsia"/>
        </w:rPr>
        <w:lastRenderedPageBreak/>
        <w:t>如表4-2所示，在2018年至2021年，比亚迪公司的净经营资产净利在四年内保持了一个比较稳定的水平。2018年</w:t>
      </w:r>
      <w:r>
        <w:t>比亚迪</w:t>
      </w:r>
      <w:r>
        <w:rPr>
          <w:rFonts w:hint="eastAsia"/>
        </w:rPr>
        <w:t>的平均净经营资产净利率在6.08%，长城汽车与上汽集团的净经营资产净利率分别为3.22%和12.15%。在2019年</w:t>
      </w:r>
      <w:r>
        <w:t>比亚迪</w:t>
      </w:r>
      <w:r>
        <w:rPr>
          <w:rFonts w:hint="eastAsia"/>
        </w:rPr>
        <w:t>的净经营资产净利率为6.13%，而长城汽车和上汽集团分别为</w:t>
      </w:r>
      <w:r>
        <w:t>-1.25%</w:t>
      </w:r>
      <w:r>
        <w:rPr>
          <w:rFonts w:hint="eastAsia"/>
        </w:rPr>
        <w:t>和</w:t>
      </w:r>
      <w:r>
        <w:t>13.42%</w:t>
      </w:r>
      <w:r>
        <w:rPr>
          <w:rFonts w:hint="eastAsia"/>
        </w:rPr>
        <w:t xml:space="preserve">，可见长城汽车在净利润上的优势并不明显。表现最显著的是2018年的上汽集团，曾创下15.44%的净经营资产净利率，创下历史新高，由此可见上汽集团的净运营资本收益却非常出色。不过，在2021年，上汽集团的净经营资产净利率却下降到8.18%。主要原因是2021年，上汽集团将更多的精力投入到海外，只在11月份发布了荣威RX5和eMAX这两款新能源车。这三个企业都在2020年净经营资产净利率同时下滑，这也就意味着，新能源汽车的产业的盈利水平都出现了一些问题。至于2022年的销量会怎么样，我们拭目以待。    </w:t>
      </w:r>
    </w:p>
    <w:tbl>
      <w:tblPr>
        <w:tblW w:w="8359" w:type="dxa"/>
        <w:jc w:val="center"/>
        <w:tblLayout w:type="fixed"/>
        <w:tblCellMar>
          <w:top w:w="15" w:type="dxa"/>
          <w:left w:w="15" w:type="dxa"/>
          <w:bottom w:w="15" w:type="dxa"/>
          <w:right w:w="15" w:type="dxa"/>
        </w:tblCellMar>
        <w:tblLook w:val="04A0" w:firstRow="1" w:lastRow="0" w:firstColumn="1" w:lastColumn="0" w:noHBand="0" w:noVBand="1"/>
      </w:tblPr>
      <w:tblGrid>
        <w:gridCol w:w="1129"/>
        <w:gridCol w:w="1134"/>
        <w:gridCol w:w="1134"/>
        <w:gridCol w:w="1134"/>
        <w:gridCol w:w="993"/>
        <w:gridCol w:w="992"/>
        <w:gridCol w:w="1843"/>
      </w:tblGrid>
      <w:tr w:rsidR="007B2861">
        <w:trPr>
          <w:trHeight w:val="495"/>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7B2861" w:rsidRDefault="007B2861">
            <w:pPr>
              <w:pStyle w:val="02"/>
              <w:jc w:val="center"/>
              <w:rPr>
                <w:szCs w:val="21"/>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ind w:firstLineChars="0" w:firstLine="0"/>
              <w:jc w:val="center"/>
              <w:rPr>
                <w:szCs w:val="21"/>
              </w:rPr>
            </w:pPr>
            <w:r>
              <w:rPr>
                <w:szCs w:val="21"/>
              </w:rPr>
              <w:t>201</w:t>
            </w:r>
            <w:r>
              <w:rPr>
                <w:rFonts w:hint="eastAsia"/>
                <w:szCs w:val="21"/>
              </w:rPr>
              <w:t>8</w:t>
            </w:r>
            <w:r>
              <w:rPr>
                <w:szCs w:val="21"/>
              </w:rPr>
              <w:t>年</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ind w:firstLineChars="0" w:firstLine="0"/>
              <w:jc w:val="center"/>
              <w:rPr>
                <w:szCs w:val="21"/>
              </w:rPr>
            </w:pPr>
            <w:r>
              <w:rPr>
                <w:szCs w:val="21"/>
              </w:rPr>
              <w:t>201</w:t>
            </w:r>
            <w:r>
              <w:rPr>
                <w:rFonts w:hint="eastAsia"/>
                <w:szCs w:val="21"/>
              </w:rPr>
              <w:t>9</w:t>
            </w:r>
            <w:r>
              <w:rPr>
                <w:szCs w:val="21"/>
              </w:rPr>
              <w:t>年</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ind w:firstLineChars="0" w:firstLine="0"/>
              <w:jc w:val="center"/>
              <w:rPr>
                <w:szCs w:val="21"/>
              </w:rPr>
            </w:pPr>
            <w:r>
              <w:rPr>
                <w:szCs w:val="21"/>
              </w:rPr>
              <w:t>20</w:t>
            </w:r>
            <w:r>
              <w:rPr>
                <w:rFonts w:hint="eastAsia"/>
                <w:szCs w:val="21"/>
              </w:rPr>
              <w:t>20</w:t>
            </w:r>
            <w:r>
              <w:rPr>
                <w:szCs w:val="21"/>
              </w:rPr>
              <w:t>年</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ind w:firstLineChars="0" w:firstLine="0"/>
              <w:jc w:val="center"/>
              <w:rPr>
                <w:szCs w:val="21"/>
              </w:rPr>
            </w:pPr>
            <w:r>
              <w:rPr>
                <w:szCs w:val="21"/>
              </w:rPr>
              <w:t>20</w:t>
            </w:r>
            <w:r>
              <w:rPr>
                <w:rFonts w:hint="eastAsia"/>
                <w:szCs w:val="21"/>
              </w:rPr>
              <w:t>21</w:t>
            </w:r>
            <w:r>
              <w:rPr>
                <w:szCs w:val="21"/>
              </w:rPr>
              <w:t>年</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ind w:firstLineChars="0" w:firstLine="0"/>
              <w:jc w:val="center"/>
              <w:rPr>
                <w:szCs w:val="21"/>
              </w:rPr>
            </w:pPr>
            <w:r>
              <w:rPr>
                <w:szCs w:val="21"/>
              </w:rPr>
              <w:t>平均</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ind w:firstLineChars="0" w:firstLine="0"/>
              <w:jc w:val="center"/>
              <w:rPr>
                <w:szCs w:val="21"/>
              </w:rPr>
            </w:pPr>
            <w:r>
              <w:rPr>
                <w:szCs w:val="21"/>
              </w:rPr>
              <w:t>行业平均</w:t>
            </w:r>
          </w:p>
        </w:tc>
      </w:tr>
      <w:tr w:rsidR="007B2861">
        <w:trPr>
          <w:trHeight w:val="57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ind w:firstLineChars="0" w:firstLine="0"/>
              <w:jc w:val="center"/>
              <w:rPr>
                <w:szCs w:val="21"/>
              </w:rPr>
            </w:pPr>
            <w:r>
              <w:rPr>
                <w:szCs w:val="21"/>
              </w:rPr>
              <w:t>比亚迪</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ind w:firstLineChars="0" w:firstLine="0"/>
              <w:jc w:val="center"/>
              <w:rPr>
                <w:szCs w:val="21"/>
              </w:rPr>
            </w:pPr>
            <w:r>
              <w:rPr>
                <w:szCs w:val="21"/>
              </w:rPr>
              <w:t>7.69%</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ind w:firstLineChars="0" w:firstLine="0"/>
              <w:jc w:val="center"/>
              <w:rPr>
                <w:szCs w:val="21"/>
              </w:rPr>
            </w:pPr>
            <w:r>
              <w:rPr>
                <w:szCs w:val="21"/>
              </w:rPr>
              <w:t>6.13%</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ind w:firstLineChars="0" w:firstLine="0"/>
              <w:jc w:val="center"/>
              <w:rPr>
                <w:szCs w:val="21"/>
              </w:rPr>
            </w:pPr>
            <w:r>
              <w:rPr>
                <w:szCs w:val="21"/>
              </w:rPr>
              <w:t>5.57%</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ind w:firstLineChars="0" w:firstLine="0"/>
              <w:jc w:val="center"/>
              <w:rPr>
                <w:szCs w:val="21"/>
              </w:rPr>
            </w:pPr>
            <w:r>
              <w:rPr>
                <w:szCs w:val="21"/>
              </w:rPr>
              <w:t>4.93%</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ind w:firstLineChars="0" w:firstLine="0"/>
              <w:jc w:val="center"/>
              <w:rPr>
                <w:szCs w:val="21"/>
              </w:rPr>
            </w:pPr>
            <w:r>
              <w:rPr>
                <w:szCs w:val="21"/>
              </w:rPr>
              <w:t>6.08%</w:t>
            </w:r>
          </w:p>
        </w:tc>
        <w:tc>
          <w:tcPr>
            <w:tcW w:w="1843" w:type="dxa"/>
            <w:vMerge w:val="restart"/>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jc w:val="center"/>
              <w:rPr>
                <w:szCs w:val="21"/>
              </w:rPr>
            </w:pPr>
            <w:r>
              <w:rPr>
                <w:szCs w:val="21"/>
              </w:rPr>
              <w:t>6.10%</w:t>
            </w:r>
          </w:p>
        </w:tc>
      </w:tr>
      <w:tr w:rsidR="007B2861">
        <w:trPr>
          <w:trHeight w:val="57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ind w:firstLineChars="0" w:firstLine="0"/>
              <w:jc w:val="center"/>
              <w:rPr>
                <w:szCs w:val="21"/>
              </w:rPr>
            </w:pPr>
            <w:r>
              <w:rPr>
                <w:szCs w:val="21"/>
              </w:rPr>
              <w:t>长城汽车</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ind w:firstLineChars="0" w:firstLine="0"/>
              <w:jc w:val="center"/>
              <w:rPr>
                <w:szCs w:val="21"/>
              </w:rPr>
            </w:pPr>
            <w:r>
              <w:rPr>
                <w:szCs w:val="21"/>
              </w:rPr>
              <w:t>0.88%</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ind w:firstLineChars="0" w:firstLine="0"/>
              <w:jc w:val="center"/>
              <w:rPr>
                <w:szCs w:val="21"/>
              </w:rPr>
            </w:pPr>
            <w:r>
              <w:rPr>
                <w:szCs w:val="21"/>
              </w:rPr>
              <w:t>-1.25%</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ind w:firstLineChars="0" w:firstLine="0"/>
              <w:jc w:val="center"/>
              <w:rPr>
                <w:szCs w:val="21"/>
              </w:rPr>
            </w:pPr>
            <w:r>
              <w:rPr>
                <w:szCs w:val="21"/>
              </w:rPr>
              <w:t>7.59%</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ind w:firstLineChars="0" w:firstLine="0"/>
              <w:jc w:val="center"/>
              <w:rPr>
                <w:szCs w:val="21"/>
              </w:rPr>
            </w:pPr>
            <w:r>
              <w:rPr>
                <w:szCs w:val="21"/>
              </w:rPr>
              <w:t>5.67%</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ind w:firstLineChars="0" w:firstLine="0"/>
              <w:jc w:val="center"/>
              <w:rPr>
                <w:szCs w:val="21"/>
              </w:rPr>
            </w:pPr>
            <w:r>
              <w:rPr>
                <w:szCs w:val="21"/>
              </w:rPr>
              <w:t>3.22%</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B2861" w:rsidRDefault="007B2861">
            <w:pPr>
              <w:pStyle w:val="02"/>
              <w:jc w:val="center"/>
              <w:rPr>
                <w:szCs w:val="21"/>
              </w:rPr>
            </w:pPr>
          </w:p>
        </w:tc>
      </w:tr>
      <w:tr w:rsidR="007B2861">
        <w:trPr>
          <w:trHeight w:val="51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ind w:firstLineChars="0" w:firstLine="0"/>
              <w:jc w:val="center"/>
              <w:rPr>
                <w:szCs w:val="21"/>
              </w:rPr>
            </w:pPr>
            <w:r>
              <w:rPr>
                <w:szCs w:val="21"/>
              </w:rPr>
              <w:t>上汽集团</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ind w:firstLineChars="0" w:firstLine="0"/>
              <w:jc w:val="center"/>
              <w:rPr>
                <w:szCs w:val="21"/>
              </w:rPr>
            </w:pPr>
            <w:r>
              <w:rPr>
                <w:szCs w:val="21"/>
              </w:rPr>
              <w:t>15.44%</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ind w:firstLineChars="0" w:firstLine="0"/>
              <w:jc w:val="center"/>
              <w:rPr>
                <w:szCs w:val="21"/>
              </w:rPr>
            </w:pPr>
            <w:r>
              <w:rPr>
                <w:szCs w:val="21"/>
              </w:rPr>
              <w:t>13.42%</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ind w:firstLineChars="0" w:firstLine="0"/>
              <w:jc w:val="center"/>
              <w:rPr>
                <w:szCs w:val="21"/>
              </w:rPr>
            </w:pPr>
            <w:r>
              <w:rPr>
                <w:szCs w:val="21"/>
              </w:rPr>
              <w:t>11.54%</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ind w:firstLineChars="0" w:firstLine="0"/>
              <w:jc w:val="center"/>
              <w:rPr>
                <w:szCs w:val="21"/>
              </w:rPr>
            </w:pPr>
            <w:r>
              <w:rPr>
                <w:szCs w:val="21"/>
              </w:rPr>
              <w:t>8.18%</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pStyle w:val="02"/>
              <w:ind w:firstLineChars="0" w:firstLine="0"/>
              <w:jc w:val="center"/>
              <w:rPr>
                <w:szCs w:val="21"/>
              </w:rPr>
            </w:pPr>
            <w:r>
              <w:rPr>
                <w:szCs w:val="21"/>
              </w:rPr>
              <w:t>12.15%</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B2861" w:rsidRDefault="007B2861">
            <w:pPr>
              <w:pStyle w:val="02"/>
              <w:jc w:val="center"/>
              <w:rPr>
                <w:szCs w:val="21"/>
              </w:rPr>
            </w:pPr>
          </w:p>
        </w:tc>
      </w:tr>
    </w:tbl>
    <w:p w:rsidR="007B2861" w:rsidRDefault="0061648C">
      <w:pPr>
        <w:pStyle w:val="02"/>
        <w:ind w:firstLineChars="0" w:firstLine="0"/>
        <w:jc w:val="center"/>
        <w:rPr>
          <w:sz w:val="21"/>
          <w:szCs w:val="21"/>
        </w:rPr>
      </w:pPr>
      <w:r>
        <w:rPr>
          <w:rFonts w:hint="eastAsia"/>
          <w:sz w:val="21"/>
          <w:szCs w:val="21"/>
        </w:rPr>
        <w:t>表4-2比亚迪、长城汽车、上汽集团﹑净经营资产净利率</w:t>
      </w:r>
    </w:p>
    <w:p w:rsidR="007B2861" w:rsidRDefault="0061648C">
      <w:pPr>
        <w:pStyle w:val="00"/>
      </w:pPr>
      <w:bookmarkStart w:id="21" w:name="_Toc28639"/>
      <w:r>
        <w:rPr>
          <w:rFonts w:hint="eastAsia"/>
        </w:rPr>
        <w:t>（三）成长能力波动较大</w:t>
      </w:r>
      <w:bookmarkEnd w:id="21"/>
    </w:p>
    <w:p w:rsidR="007B2861" w:rsidRDefault="0061648C">
      <w:pPr>
        <w:pStyle w:val="02"/>
      </w:pPr>
      <w:r>
        <w:rPr>
          <w:rFonts w:hint="eastAsia"/>
        </w:rPr>
        <w:t>尽管净营运资本增长速度显示公司在业务经营范围内的分布情况，以及较精确的预测企业将来的发展潜能，但必须综合考虑整体的资本增长速度与净营运资本的增长速度，这对于预测公司的将来发展来说是比较可靠的。比亚迪、长城汽车、上汽集团三家企业营业收入增长率比较:</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5"/>
      </w:tblGrid>
      <w:tr w:rsidR="007B2861">
        <w:tc>
          <w:tcPr>
            <w:tcW w:w="8625" w:type="dxa"/>
            <w:vAlign w:val="center"/>
          </w:tcPr>
          <w:p w:rsidR="007B2861" w:rsidRDefault="007B2861">
            <w:pPr>
              <w:pStyle w:val="02"/>
              <w:jc w:val="center"/>
            </w:pPr>
          </w:p>
        </w:tc>
      </w:tr>
      <w:tr w:rsidR="007B2861">
        <w:tc>
          <w:tcPr>
            <w:tcW w:w="8625" w:type="dxa"/>
          </w:tcPr>
          <w:tbl>
            <w:tblPr>
              <w:tblW w:w="8399" w:type="dxa"/>
              <w:tblCellMar>
                <w:top w:w="15" w:type="dxa"/>
                <w:left w:w="15" w:type="dxa"/>
                <w:bottom w:w="15" w:type="dxa"/>
                <w:right w:w="15" w:type="dxa"/>
              </w:tblCellMar>
              <w:tblLook w:val="04A0" w:firstRow="1" w:lastRow="0" w:firstColumn="1" w:lastColumn="0" w:noHBand="0" w:noVBand="1"/>
            </w:tblPr>
            <w:tblGrid>
              <w:gridCol w:w="990"/>
              <w:gridCol w:w="1273"/>
              <w:gridCol w:w="993"/>
              <w:gridCol w:w="1134"/>
              <w:gridCol w:w="1134"/>
              <w:gridCol w:w="1457"/>
              <w:gridCol w:w="1418"/>
            </w:tblGrid>
            <w:tr w:rsidR="007B2861">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7B2861" w:rsidRDefault="007B2861">
                  <w:pPr>
                    <w:widowControl/>
                    <w:jc w:val="center"/>
                    <w:rPr>
                      <w:rFonts w:ascii="Calibri" w:hAnsi="Calibri" w:cs="宋体"/>
                      <w:color w:val="000000"/>
                      <w:kern w:val="0"/>
                      <w:sz w:val="48"/>
                      <w:szCs w:val="56"/>
                    </w:rPr>
                  </w:pP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Calibri" w:hAnsi="Calibri" w:cs="宋体"/>
                      <w:color w:val="000000"/>
                      <w:kern w:val="0"/>
                      <w:sz w:val="24"/>
                    </w:rPr>
                  </w:pPr>
                  <w:r>
                    <w:rPr>
                      <w:rFonts w:ascii="Calibri" w:hAnsi="Calibri" w:cs="宋体"/>
                      <w:color w:val="000000"/>
                      <w:kern w:val="0"/>
                      <w:sz w:val="24"/>
                    </w:rPr>
                    <w:t>201</w:t>
                  </w:r>
                  <w:r>
                    <w:rPr>
                      <w:rFonts w:ascii="Calibri" w:hAnsi="Calibri" w:cs="宋体" w:hint="eastAsia"/>
                      <w:color w:val="000000"/>
                      <w:kern w:val="0"/>
                      <w:sz w:val="24"/>
                    </w:rPr>
                    <w:t>8</w:t>
                  </w:r>
                  <w:r>
                    <w:rPr>
                      <w:rFonts w:ascii="Calibri" w:hAnsi="Calibri" w:cs="宋体"/>
                      <w:color w:val="000000"/>
                      <w:kern w:val="0"/>
                      <w:sz w:val="24"/>
                    </w:rPr>
                    <w:t>年</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Calibri" w:hAnsi="Calibri" w:cs="宋体"/>
                      <w:color w:val="000000"/>
                      <w:kern w:val="0"/>
                      <w:sz w:val="24"/>
                    </w:rPr>
                  </w:pPr>
                  <w:r>
                    <w:rPr>
                      <w:rFonts w:ascii="Calibri" w:hAnsi="Calibri" w:cs="宋体"/>
                      <w:color w:val="000000"/>
                      <w:kern w:val="0"/>
                      <w:sz w:val="24"/>
                    </w:rPr>
                    <w:t>201</w:t>
                  </w:r>
                  <w:r>
                    <w:rPr>
                      <w:rFonts w:ascii="Calibri" w:hAnsi="Calibri" w:cs="宋体" w:hint="eastAsia"/>
                      <w:color w:val="000000"/>
                      <w:kern w:val="0"/>
                      <w:sz w:val="24"/>
                    </w:rPr>
                    <w:t>9</w:t>
                  </w:r>
                  <w:r>
                    <w:rPr>
                      <w:rFonts w:ascii="Calibri" w:hAnsi="Calibri" w:cs="宋体"/>
                      <w:color w:val="000000"/>
                      <w:kern w:val="0"/>
                      <w:sz w:val="24"/>
                    </w:rPr>
                    <w:t>年</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Calibri" w:hAnsi="Calibri" w:cs="宋体"/>
                      <w:color w:val="000000"/>
                      <w:kern w:val="0"/>
                      <w:sz w:val="24"/>
                    </w:rPr>
                  </w:pPr>
                  <w:r>
                    <w:rPr>
                      <w:rFonts w:ascii="Calibri" w:hAnsi="Calibri" w:cs="宋体"/>
                      <w:color w:val="000000"/>
                      <w:kern w:val="0"/>
                      <w:sz w:val="24"/>
                    </w:rPr>
                    <w:t>20</w:t>
                  </w:r>
                  <w:r>
                    <w:rPr>
                      <w:rFonts w:ascii="Calibri" w:hAnsi="Calibri" w:cs="宋体" w:hint="eastAsia"/>
                      <w:color w:val="000000"/>
                      <w:kern w:val="0"/>
                      <w:sz w:val="24"/>
                    </w:rPr>
                    <w:t>20</w:t>
                  </w:r>
                  <w:r>
                    <w:rPr>
                      <w:rFonts w:ascii="Calibri" w:hAnsi="Calibri" w:cs="宋体"/>
                      <w:color w:val="000000"/>
                      <w:kern w:val="0"/>
                      <w:sz w:val="24"/>
                    </w:rPr>
                    <w:t>年</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Calibri" w:hAnsi="Calibri" w:cs="宋体"/>
                      <w:color w:val="000000"/>
                      <w:kern w:val="0"/>
                      <w:sz w:val="24"/>
                    </w:rPr>
                  </w:pPr>
                  <w:r>
                    <w:rPr>
                      <w:rFonts w:ascii="Calibri" w:hAnsi="Calibri" w:cs="宋体"/>
                      <w:color w:val="000000"/>
                      <w:kern w:val="0"/>
                      <w:sz w:val="24"/>
                    </w:rPr>
                    <w:t>20</w:t>
                  </w:r>
                  <w:r>
                    <w:rPr>
                      <w:rFonts w:ascii="Calibri" w:hAnsi="Calibri" w:cs="宋体" w:hint="eastAsia"/>
                      <w:color w:val="000000"/>
                      <w:kern w:val="0"/>
                      <w:sz w:val="24"/>
                    </w:rPr>
                    <w:t>21</w:t>
                  </w:r>
                  <w:r>
                    <w:rPr>
                      <w:rFonts w:ascii="Calibri" w:hAnsi="Calibri" w:cs="宋体"/>
                      <w:color w:val="000000"/>
                      <w:kern w:val="0"/>
                      <w:sz w:val="24"/>
                    </w:rPr>
                    <w:t>年</w:t>
                  </w: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Calibri" w:hAnsi="Calibri" w:cs="宋体"/>
                      <w:color w:val="000000"/>
                      <w:kern w:val="0"/>
                      <w:sz w:val="24"/>
                    </w:rPr>
                  </w:pPr>
                  <w:r>
                    <w:rPr>
                      <w:rFonts w:ascii="Calibri" w:hAnsi="Calibri" w:cs="宋体"/>
                      <w:color w:val="000000"/>
                      <w:kern w:val="0"/>
                      <w:sz w:val="24"/>
                    </w:rPr>
                    <w:t>平均</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Calibri" w:hAnsi="Calibri" w:cs="宋体"/>
                      <w:color w:val="000000"/>
                      <w:kern w:val="0"/>
                      <w:sz w:val="24"/>
                    </w:rPr>
                  </w:pPr>
                  <w:r>
                    <w:rPr>
                      <w:rFonts w:ascii="Calibri" w:hAnsi="Calibri" w:cs="宋体"/>
                      <w:color w:val="000000"/>
                      <w:kern w:val="0"/>
                      <w:sz w:val="24"/>
                    </w:rPr>
                    <w:t>行业平均</w:t>
                  </w:r>
                </w:p>
              </w:tc>
            </w:tr>
            <w:tr w:rsidR="007B2861">
              <w:trPr>
                <w:trHeight w:val="465"/>
              </w:trPr>
              <w:tc>
                <w:tcPr>
                  <w:tcW w:w="0" w:type="auto"/>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Calibri" w:hAnsi="Calibri" w:cs="宋体"/>
                      <w:color w:val="000000"/>
                      <w:kern w:val="0"/>
                      <w:sz w:val="24"/>
                    </w:rPr>
                  </w:pPr>
                  <w:r>
                    <w:rPr>
                      <w:rFonts w:ascii="Calibri" w:hAnsi="Calibri" w:cs="宋体"/>
                      <w:color w:val="000000"/>
                      <w:kern w:val="0"/>
                      <w:sz w:val="24"/>
                    </w:rPr>
                    <w:t>比亚迪</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Calibri" w:hAnsi="Calibri" w:cs="宋体"/>
                      <w:color w:val="000000"/>
                      <w:kern w:val="0"/>
                      <w:sz w:val="24"/>
                    </w:rPr>
                  </w:pPr>
                  <w:r>
                    <w:rPr>
                      <w:rFonts w:ascii="Calibri" w:hAnsi="Calibri" w:cs="宋体"/>
                      <w:color w:val="000000"/>
                      <w:kern w:val="0"/>
                      <w:sz w:val="24"/>
                    </w:rPr>
                    <w:t>29.32%</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Calibri" w:hAnsi="Calibri" w:cs="宋体"/>
                      <w:color w:val="000000"/>
                      <w:kern w:val="0"/>
                      <w:sz w:val="24"/>
                    </w:rPr>
                  </w:pPr>
                  <w:r>
                    <w:rPr>
                      <w:rFonts w:ascii="Calibri" w:hAnsi="Calibri" w:cs="宋体"/>
                      <w:color w:val="000000"/>
                      <w:kern w:val="0"/>
                      <w:sz w:val="24"/>
                    </w:rPr>
                    <w:t>2.36%</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Calibri" w:hAnsi="Calibri" w:cs="宋体"/>
                      <w:color w:val="000000"/>
                      <w:kern w:val="0"/>
                      <w:sz w:val="24"/>
                    </w:rPr>
                  </w:pPr>
                  <w:r>
                    <w:rPr>
                      <w:rFonts w:ascii="Calibri" w:hAnsi="Calibri" w:cs="宋体"/>
                      <w:color w:val="000000"/>
                      <w:kern w:val="0"/>
                      <w:sz w:val="24"/>
                    </w:rPr>
                    <w:t>22.79%</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Calibri" w:hAnsi="Calibri" w:cs="宋体"/>
                      <w:color w:val="000000"/>
                      <w:kern w:val="0"/>
                      <w:sz w:val="24"/>
                    </w:rPr>
                  </w:pPr>
                  <w:r>
                    <w:rPr>
                      <w:rFonts w:ascii="Calibri" w:hAnsi="Calibri" w:cs="宋体"/>
                      <w:color w:val="000000"/>
                      <w:kern w:val="0"/>
                      <w:sz w:val="24"/>
                    </w:rPr>
                    <w:t>-1.78%</w:t>
                  </w: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Calibri" w:hAnsi="Calibri" w:cs="宋体"/>
                      <w:color w:val="000000"/>
                      <w:kern w:val="0"/>
                      <w:sz w:val="24"/>
                    </w:rPr>
                  </w:pPr>
                  <w:r>
                    <w:rPr>
                      <w:rFonts w:ascii="Calibri" w:hAnsi="Calibri" w:cs="宋体"/>
                      <w:color w:val="000000"/>
                      <w:kern w:val="0"/>
                      <w:sz w:val="24"/>
                    </w:rPr>
                    <w:t>13.17%</w:t>
                  </w:r>
                </w:p>
              </w:tc>
              <w:tc>
                <w:tcPr>
                  <w:tcW w:w="1418" w:type="dxa"/>
                  <w:vMerge w:val="restart"/>
                  <w:tcBorders>
                    <w:top w:val="single" w:sz="4" w:space="0" w:color="000000"/>
                    <w:left w:val="single" w:sz="4" w:space="0" w:color="000000"/>
                    <w:right w:val="single" w:sz="4" w:space="0" w:color="000000"/>
                  </w:tcBorders>
                  <w:noWrap/>
                  <w:vAlign w:val="center"/>
                </w:tcPr>
                <w:p w:rsidR="007B2861" w:rsidRDefault="0061648C">
                  <w:pPr>
                    <w:jc w:val="center"/>
                    <w:rPr>
                      <w:rFonts w:ascii="Calibri" w:hAnsi="Calibri" w:cs="宋体"/>
                      <w:color w:val="000000"/>
                      <w:kern w:val="0"/>
                      <w:sz w:val="46"/>
                      <w:szCs w:val="56"/>
                    </w:rPr>
                  </w:pPr>
                  <w:r>
                    <w:rPr>
                      <w:rFonts w:ascii="Calibri" w:hAnsi="Calibri" w:cs="宋体"/>
                      <w:color w:val="000000"/>
                      <w:kern w:val="0"/>
                      <w:sz w:val="24"/>
                    </w:rPr>
                    <w:t>15.08%</w:t>
                  </w:r>
                </w:p>
              </w:tc>
            </w:tr>
            <w:tr w:rsidR="007B2861">
              <w:trPr>
                <w:trHeight w:val="465"/>
              </w:trPr>
              <w:tc>
                <w:tcPr>
                  <w:tcW w:w="0" w:type="auto"/>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Calibri" w:hAnsi="Calibri" w:cs="宋体"/>
                      <w:color w:val="000000"/>
                      <w:kern w:val="0"/>
                      <w:sz w:val="24"/>
                    </w:rPr>
                  </w:pPr>
                  <w:r>
                    <w:rPr>
                      <w:rFonts w:ascii="Calibri" w:hAnsi="Calibri" w:cs="宋体"/>
                      <w:color w:val="000000"/>
                      <w:kern w:val="0"/>
                      <w:sz w:val="24"/>
                    </w:rPr>
                    <w:t>长城汽车</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Calibri" w:hAnsi="Calibri" w:cs="宋体"/>
                      <w:color w:val="000000"/>
                      <w:kern w:val="0"/>
                      <w:sz w:val="24"/>
                    </w:rPr>
                  </w:pPr>
                  <w:r>
                    <w:rPr>
                      <w:rFonts w:ascii="Calibri" w:hAnsi="Calibri" w:cs="宋体"/>
                      <w:color w:val="000000"/>
                      <w:kern w:val="0"/>
                      <w:sz w:val="24"/>
                    </w:rPr>
                    <w:t>29.70%</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Calibri" w:hAnsi="Calibri" w:cs="宋体"/>
                      <w:color w:val="000000"/>
                      <w:kern w:val="0"/>
                      <w:sz w:val="24"/>
                    </w:rPr>
                  </w:pPr>
                  <w:r>
                    <w:rPr>
                      <w:rFonts w:ascii="Calibri" w:hAnsi="Calibri" w:cs="宋体"/>
                      <w:color w:val="000000"/>
                      <w:kern w:val="0"/>
                      <w:sz w:val="24"/>
                    </w:rPr>
                    <w:t>2.59%</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Calibri" w:hAnsi="Calibri" w:cs="宋体"/>
                      <w:color w:val="000000"/>
                      <w:kern w:val="0"/>
                      <w:sz w:val="24"/>
                    </w:rPr>
                  </w:pPr>
                  <w:r>
                    <w:rPr>
                      <w:rFonts w:ascii="Calibri" w:hAnsi="Calibri" w:cs="宋体"/>
                      <w:color w:val="000000"/>
                      <w:kern w:val="0"/>
                      <w:sz w:val="24"/>
                    </w:rPr>
                    <w:t>-1.92%</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Calibri" w:hAnsi="Calibri" w:cs="宋体"/>
                      <w:color w:val="000000"/>
                      <w:kern w:val="0"/>
                      <w:sz w:val="24"/>
                    </w:rPr>
                  </w:pPr>
                  <w:r>
                    <w:rPr>
                      <w:rFonts w:ascii="Calibri" w:hAnsi="Calibri" w:cs="宋体"/>
                      <w:color w:val="000000"/>
                      <w:kern w:val="0"/>
                      <w:sz w:val="24"/>
                    </w:rPr>
                    <w:t>-3.04%</w:t>
                  </w: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Calibri" w:hAnsi="Calibri" w:cs="宋体"/>
                      <w:color w:val="000000"/>
                      <w:kern w:val="0"/>
                      <w:sz w:val="24"/>
                    </w:rPr>
                  </w:pPr>
                  <w:r>
                    <w:rPr>
                      <w:rFonts w:ascii="Calibri" w:hAnsi="Calibri" w:cs="宋体"/>
                      <w:color w:val="000000"/>
                      <w:kern w:val="0"/>
                      <w:sz w:val="24"/>
                    </w:rPr>
                    <w:t>6.83%</w:t>
                  </w:r>
                </w:p>
              </w:tc>
              <w:tc>
                <w:tcPr>
                  <w:tcW w:w="1418" w:type="dxa"/>
                  <w:vMerge/>
                  <w:tcBorders>
                    <w:left w:val="single" w:sz="4" w:space="0" w:color="000000"/>
                    <w:right w:val="single" w:sz="4" w:space="0" w:color="000000"/>
                  </w:tcBorders>
                  <w:noWrap/>
                  <w:vAlign w:val="center"/>
                </w:tcPr>
                <w:p w:rsidR="007B2861" w:rsidRDefault="007B2861">
                  <w:pPr>
                    <w:widowControl/>
                    <w:jc w:val="center"/>
                    <w:rPr>
                      <w:rFonts w:ascii="Calibri" w:hAnsi="Calibri" w:cs="宋体"/>
                      <w:color w:val="000000"/>
                      <w:kern w:val="0"/>
                      <w:sz w:val="24"/>
                    </w:rPr>
                  </w:pPr>
                </w:p>
              </w:tc>
            </w:tr>
            <w:tr w:rsidR="007B2861">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Calibri" w:hAnsi="Calibri" w:cs="宋体"/>
                      <w:color w:val="000000"/>
                      <w:kern w:val="0"/>
                      <w:sz w:val="24"/>
                    </w:rPr>
                  </w:pPr>
                  <w:r>
                    <w:rPr>
                      <w:rFonts w:ascii="Calibri" w:hAnsi="Calibri" w:cs="宋体"/>
                      <w:color w:val="000000"/>
                      <w:kern w:val="0"/>
                      <w:sz w:val="24"/>
                    </w:rPr>
                    <w:t>上汽集团</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Calibri" w:hAnsi="Calibri" w:cs="宋体"/>
                      <w:color w:val="000000"/>
                      <w:kern w:val="0"/>
                      <w:sz w:val="24"/>
                    </w:rPr>
                  </w:pPr>
                  <w:r>
                    <w:rPr>
                      <w:rFonts w:ascii="Calibri" w:hAnsi="Calibri" w:cs="宋体"/>
                      <w:color w:val="000000"/>
                      <w:kern w:val="0"/>
                      <w:sz w:val="24"/>
                    </w:rPr>
                    <w:t>12.82%</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Calibri" w:hAnsi="Calibri" w:cs="宋体"/>
                      <w:color w:val="000000"/>
                      <w:kern w:val="0"/>
                      <w:sz w:val="24"/>
                    </w:rPr>
                  </w:pPr>
                  <w:r>
                    <w:rPr>
                      <w:rFonts w:ascii="Calibri" w:hAnsi="Calibri" w:cs="宋体"/>
                      <w:color w:val="000000"/>
                      <w:kern w:val="0"/>
                      <w:sz w:val="24"/>
                    </w:rPr>
                    <w:t>15.10%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Calibri" w:hAnsi="Calibri" w:cs="宋体"/>
                      <w:color w:val="000000"/>
                      <w:kern w:val="0"/>
                      <w:sz w:val="24"/>
                    </w:rPr>
                  </w:pPr>
                  <w:r>
                    <w:rPr>
                      <w:rFonts w:ascii="Calibri" w:hAnsi="Calibri" w:cs="宋体"/>
                      <w:color w:val="000000"/>
                      <w:kern w:val="0"/>
                      <w:sz w:val="24"/>
                    </w:rPr>
                    <w:t>3.62%</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Calibri" w:hAnsi="Calibri" w:cs="宋体"/>
                      <w:color w:val="000000"/>
                      <w:kern w:val="0"/>
                      <w:sz w:val="24"/>
                    </w:rPr>
                  </w:pPr>
                  <w:r>
                    <w:rPr>
                      <w:rFonts w:ascii="Calibri" w:hAnsi="Calibri" w:cs="宋体"/>
                      <w:color w:val="000000"/>
                      <w:kern w:val="0"/>
                      <w:sz w:val="24"/>
                    </w:rPr>
                    <w:t>-6.53%</w:t>
                  </w: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Calibri" w:hAnsi="Calibri" w:cs="宋体"/>
                      <w:color w:val="000000"/>
                      <w:kern w:val="0"/>
                      <w:sz w:val="24"/>
                    </w:rPr>
                  </w:pPr>
                  <w:r>
                    <w:rPr>
                      <w:rFonts w:ascii="Calibri" w:hAnsi="Calibri" w:cs="宋体"/>
                      <w:color w:val="000000"/>
                      <w:kern w:val="0"/>
                      <w:sz w:val="24"/>
                    </w:rPr>
                    <w:t>6.25%</w:t>
                  </w:r>
                </w:p>
              </w:tc>
              <w:tc>
                <w:tcPr>
                  <w:tcW w:w="1418" w:type="dxa"/>
                  <w:vMerge/>
                  <w:tcBorders>
                    <w:left w:val="single" w:sz="4" w:space="0" w:color="000000"/>
                    <w:bottom w:val="single" w:sz="4" w:space="0" w:color="000000"/>
                    <w:right w:val="single" w:sz="4" w:space="0" w:color="000000"/>
                  </w:tcBorders>
                  <w:noWrap/>
                  <w:vAlign w:val="center"/>
                </w:tcPr>
                <w:p w:rsidR="007B2861" w:rsidRDefault="007B2861">
                  <w:pPr>
                    <w:widowControl/>
                    <w:jc w:val="center"/>
                    <w:rPr>
                      <w:rFonts w:ascii="Calibri" w:hAnsi="Calibri" w:cs="宋体"/>
                      <w:color w:val="000000"/>
                      <w:kern w:val="0"/>
                      <w:sz w:val="48"/>
                      <w:szCs w:val="56"/>
                    </w:rPr>
                  </w:pPr>
                </w:p>
              </w:tc>
            </w:tr>
          </w:tbl>
          <w:p w:rsidR="007B2861" w:rsidRDefault="007B2861">
            <w:pPr>
              <w:pStyle w:val="02"/>
            </w:pPr>
          </w:p>
        </w:tc>
      </w:tr>
    </w:tbl>
    <w:p w:rsidR="007B2861" w:rsidRDefault="0061648C">
      <w:pPr>
        <w:pStyle w:val="02"/>
        <w:ind w:firstLineChars="0" w:firstLine="0"/>
        <w:jc w:val="center"/>
        <w:rPr>
          <w:sz w:val="21"/>
          <w:szCs w:val="21"/>
        </w:rPr>
      </w:pPr>
      <w:r>
        <w:rPr>
          <w:rFonts w:hint="eastAsia"/>
          <w:sz w:val="21"/>
          <w:szCs w:val="21"/>
        </w:rPr>
        <w:t>表4-3比亚迪、长城汽车汽车、上汽集团集团营业收入增长率</w:t>
      </w:r>
    </w:p>
    <w:p w:rsidR="007B2861" w:rsidRDefault="0061648C">
      <w:pPr>
        <w:pStyle w:val="02"/>
      </w:pPr>
      <w:r>
        <w:rPr>
          <w:rFonts w:hint="eastAsia"/>
        </w:rPr>
        <w:t>可以看到，比亚迪的营收增速依然很好，连续四年的年平均增长13.17%，比长城汽车和上汽集团的6.83%、6.25%的增速都要高。</w:t>
      </w:r>
    </w:p>
    <w:p w:rsidR="007B2861" w:rsidRDefault="0061648C">
      <w:pPr>
        <w:pStyle w:val="02"/>
      </w:pPr>
      <w:r>
        <w:rPr>
          <w:rFonts w:hint="eastAsia"/>
        </w:rPr>
        <w:lastRenderedPageBreak/>
        <w:t>净利润增长率比亚迪、长城汽车汽车、上汽集团集团三家企业比较:</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5"/>
      </w:tblGrid>
      <w:tr w:rsidR="007B2861">
        <w:tc>
          <w:tcPr>
            <w:tcW w:w="8585" w:type="dxa"/>
          </w:tcPr>
          <w:tbl>
            <w:tblPr>
              <w:tblW w:w="8359" w:type="dxa"/>
              <w:tblCellMar>
                <w:top w:w="15" w:type="dxa"/>
                <w:left w:w="15" w:type="dxa"/>
                <w:bottom w:w="15" w:type="dxa"/>
                <w:right w:w="15" w:type="dxa"/>
              </w:tblCellMar>
              <w:tblLook w:val="04A0" w:firstRow="1" w:lastRow="0" w:firstColumn="1" w:lastColumn="0" w:noHBand="0" w:noVBand="1"/>
            </w:tblPr>
            <w:tblGrid>
              <w:gridCol w:w="990"/>
              <w:gridCol w:w="1273"/>
              <w:gridCol w:w="993"/>
              <w:gridCol w:w="1134"/>
              <w:gridCol w:w="1134"/>
              <w:gridCol w:w="1417"/>
              <w:gridCol w:w="1418"/>
            </w:tblGrid>
            <w:tr w:rsidR="007B2861">
              <w:trPr>
                <w:trHeight w:val="465"/>
              </w:trPr>
              <w:tc>
                <w:tcPr>
                  <w:tcW w:w="0" w:type="auto"/>
                  <w:tcBorders>
                    <w:top w:val="single" w:sz="4" w:space="0" w:color="000000"/>
                    <w:left w:val="single" w:sz="4" w:space="0" w:color="000000"/>
                    <w:bottom w:val="single" w:sz="4" w:space="0" w:color="000000"/>
                    <w:right w:val="single" w:sz="4" w:space="0" w:color="000000"/>
                  </w:tcBorders>
                  <w:noWrap/>
                  <w:vAlign w:val="center"/>
                </w:tcPr>
                <w:p w:rsidR="007B2861" w:rsidRDefault="007B2861">
                  <w:pPr>
                    <w:widowControl/>
                    <w:jc w:val="center"/>
                    <w:rPr>
                      <w:rFonts w:ascii="宋体" w:hAnsi="宋体" w:cs="宋体"/>
                      <w:color w:val="000000"/>
                      <w:kern w:val="0"/>
                      <w:sz w:val="46"/>
                      <w:szCs w:val="58"/>
                    </w:rPr>
                  </w:pP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2018年</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2019年</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2020年</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2021年</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平均</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行业平均</w:t>
                  </w:r>
                </w:p>
              </w:tc>
            </w:tr>
            <w:tr w:rsidR="007B2861">
              <w:trPr>
                <w:trHeight w:val="450"/>
              </w:trPr>
              <w:tc>
                <w:tcPr>
                  <w:tcW w:w="0" w:type="auto"/>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比亚迪</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74.62%</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-10.28%</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-27.67%</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-40.42%</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-0.94%</w:t>
                  </w:r>
                </w:p>
              </w:tc>
              <w:tc>
                <w:tcPr>
                  <w:tcW w:w="1418" w:type="dxa"/>
                  <w:vMerge w:val="restart"/>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-11.11%</w:t>
                  </w:r>
                </w:p>
              </w:tc>
            </w:tr>
            <w:tr w:rsidR="007B2861">
              <w:trPr>
                <w:trHeight w:val="435"/>
              </w:trPr>
              <w:tc>
                <w:tcPr>
                  <w:tcW w:w="0" w:type="auto"/>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长城汽车</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30.94%</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-52.21%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4.05%</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-13.66%</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-7.72%</w:t>
                  </w: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7B2861" w:rsidRDefault="007B2861">
                  <w:pPr>
                    <w:widowControl/>
                    <w:jc w:val="center"/>
                    <w:rPr>
                      <w:rFonts w:ascii="宋体" w:hAnsi="宋体" w:cs="宋体"/>
                      <w:color w:val="000000"/>
                      <w:kern w:val="0"/>
                      <w:sz w:val="24"/>
                    </w:rPr>
                  </w:pPr>
                </w:p>
              </w:tc>
            </w:tr>
            <w:tr w:rsidR="007B2861">
              <w:trPr>
                <w:trHeight w:val="465"/>
              </w:trPr>
              <w:tc>
                <w:tcPr>
                  <w:tcW w:w="0" w:type="auto"/>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上汽集团</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6.42%</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6.63%</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5.36%</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5.02%</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7B2861" w:rsidRDefault="0061648C">
                  <w:pPr>
                    <w:widowControl/>
                    <w:jc w:val="center"/>
                    <w:rPr>
                      <w:rFonts w:ascii="宋体" w:hAnsi="宋体" w:cs="宋体"/>
                      <w:color w:val="000000"/>
                      <w:kern w:val="0"/>
                      <w:sz w:val="24"/>
                    </w:rPr>
                  </w:pPr>
                  <w:r>
                    <w:rPr>
                      <w:rFonts w:ascii="宋体" w:hAnsi="宋体" w:cs="宋体" w:hint="eastAsia"/>
                      <w:color w:val="000000"/>
                      <w:kern w:val="0"/>
                      <w:sz w:val="24"/>
                    </w:rPr>
                    <w:t>5.86%</w:t>
                  </w: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7B2861" w:rsidRDefault="007B2861">
                  <w:pPr>
                    <w:widowControl/>
                    <w:jc w:val="center"/>
                    <w:rPr>
                      <w:rFonts w:ascii="宋体" w:hAnsi="宋体" w:cs="宋体"/>
                      <w:color w:val="000000"/>
                      <w:kern w:val="0"/>
                      <w:sz w:val="24"/>
                    </w:rPr>
                  </w:pPr>
                </w:p>
              </w:tc>
            </w:tr>
          </w:tbl>
          <w:p w:rsidR="007B2861" w:rsidRDefault="007B2861">
            <w:pPr>
              <w:pStyle w:val="02"/>
            </w:pPr>
          </w:p>
        </w:tc>
      </w:tr>
    </w:tbl>
    <w:p w:rsidR="007B2861" w:rsidRDefault="0061648C">
      <w:pPr>
        <w:pStyle w:val="02"/>
        <w:ind w:firstLineChars="0" w:firstLine="0"/>
        <w:jc w:val="center"/>
        <w:rPr>
          <w:sz w:val="21"/>
          <w:szCs w:val="21"/>
        </w:rPr>
      </w:pPr>
      <w:r>
        <w:rPr>
          <w:rFonts w:hint="eastAsia"/>
          <w:sz w:val="21"/>
          <w:szCs w:val="21"/>
        </w:rPr>
        <w:t>表4-4比亚迪、长城汽车汽车、上汽集团集团净利润增长率</w:t>
      </w:r>
    </w:p>
    <w:p w:rsidR="007B2861" w:rsidRDefault="0061648C">
      <w:pPr>
        <w:pStyle w:val="02"/>
      </w:pPr>
      <w:r>
        <w:rPr>
          <w:rFonts w:hint="eastAsia"/>
        </w:rPr>
        <w:t>从上图可以看到，四年来，比亚迪、长安和上汽集团的净利润增长率都大幅下滑，其中比亚迪的下滑幅度最大，从74.62%下滑到-40.42%，上汽集团的下滑趋势相对平稳，长城汽车的净利润增幅在四年中呈现 W形的样式。</w:t>
      </w:r>
    </w:p>
    <w:p w:rsidR="007B2861" w:rsidRDefault="0061648C" w:rsidP="009A54F9">
      <w:pPr>
        <w:pStyle w:val="0"/>
        <w:spacing w:before="312" w:after="312"/>
      </w:pPr>
      <w:bookmarkStart w:id="22" w:name="_Toc8719266"/>
      <w:bookmarkStart w:id="23" w:name="_Toc25600"/>
      <w:r>
        <w:rPr>
          <w:rFonts w:hint="eastAsia"/>
        </w:rPr>
        <w:t>五、</w:t>
      </w:r>
      <w:bookmarkEnd w:id="22"/>
      <w:r>
        <w:rPr>
          <w:rFonts w:hint="eastAsia"/>
        </w:rPr>
        <w:t>比亚迪公司概况财务状况原因分析</w:t>
      </w:r>
      <w:bookmarkEnd w:id="23"/>
    </w:p>
    <w:p w:rsidR="007B2861" w:rsidRDefault="0061648C">
      <w:pPr>
        <w:pStyle w:val="00"/>
      </w:pPr>
      <w:bookmarkStart w:id="24" w:name="_Toc8719267"/>
      <w:bookmarkStart w:id="25" w:name="_Toc3024"/>
      <w:r>
        <w:rPr>
          <w:rFonts w:hint="eastAsia"/>
        </w:rPr>
        <w:t>（一）</w:t>
      </w:r>
      <w:bookmarkEnd w:id="24"/>
      <w:r>
        <w:rPr>
          <w:rFonts w:hint="eastAsia"/>
        </w:rPr>
        <w:t>“垂直整合模式”战略方式较为封闭</w:t>
      </w:r>
      <w:bookmarkEnd w:id="25"/>
    </w:p>
    <w:p w:rsidR="007B2861" w:rsidRDefault="0061648C">
      <w:pPr>
        <w:pStyle w:val="02"/>
      </w:pPr>
      <w:r>
        <w:rPr>
          <w:rFonts w:hint="eastAsia"/>
        </w:rPr>
        <w:t>通常，为了保证生产和运营的需求和避免汽车产品的停顿和销售短缺，比亚迪公司都会有相应的库存。从表格4-1的数据来看，比亚迪公司经营运营资本周转率是2.8，上汽集团的经营运营资本周转率是5.86，差不多是比亚迪公司的两倍以上，这表明比亚迪公司资本周转时间比较久，变现能力比较弱，有可能存在库存的问题，有必要谨慎地清库存。库存周转率是指在某一段时间里，公司的销售费用与平均库存之间的比例。所以，对库存经营能力进行全面评估是一个必不可少的环节。这反映了比亚迪公司的库存周转速率和流动资产的流动性。它是一种很好的流动性分析方法。通常，库存周转率愈高愈好。在一定的库存水平下，库存的周转率越高，说明公司的销货成本数额增加，产品销量增加，公司的销售量也会增加。在流动资产中，存货的比率愈高，其周转率愈低。这表明，由于销售能力的降低，一定会造成库存的增长。在过去的三年里，司的销售额有下降。因为比亚迪是垂直一体化的，很多零件都是自己制造的，因此制造出来的汽车，都是经过了多个工序的装配和加工，然后将这些零件拼凑在了一块，然后是一套对整车进行全面的检查，最终排除掉品质不符合要求的零件，这就是最终的成品。因为汽车零部件众多，原料的购买周期较长，零部件众多，生产工艺和环节复杂，生产周期较长，因此汽车企业往往存在存货金额较大的特点。因此，比亚迪公司要强化财务控制，提升公司的经营水平。</w:t>
      </w:r>
    </w:p>
    <w:p w:rsidR="007B2861" w:rsidRDefault="0061648C">
      <w:pPr>
        <w:pStyle w:val="00"/>
      </w:pPr>
      <w:bookmarkStart w:id="26" w:name="_Toc9080"/>
      <w:r>
        <w:rPr>
          <w:rFonts w:hint="eastAsia"/>
        </w:rPr>
        <w:lastRenderedPageBreak/>
        <w:t>（二）政府补贴全面退坡，利润大幅受损</w:t>
      </w:r>
      <w:bookmarkEnd w:id="26"/>
    </w:p>
    <w:p w:rsidR="007B2861" w:rsidRDefault="0061648C">
      <w:pPr>
        <w:pStyle w:val="02"/>
      </w:pPr>
      <w:r>
        <w:rPr>
          <w:rFonts w:hint="eastAsia"/>
        </w:rPr>
        <w:t>自新能源车推出后，国家出台了一系列扶持措施，主要包括财政补贴、基建补贴和其它补贴扶持。总的来说，新能源汽车产业的政策氛围非常好，比亚迪也因此受益，2015-2016这两年发展迅速，成为新能源车领域的领跑者。但是，在政府的补贴政策一年一年的减少，各种补贴每年都会减少20%，而在2019年，新能源汽车国家购置补贴却是只有原来的50%，很多地方的补贴都被彻底的取消了，比亚迪公司，也遭受了不小的打击。</w:t>
      </w:r>
    </w:p>
    <w:p w:rsidR="007B2861" w:rsidRDefault="0061648C">
      <w:pPr>
        <w:pStyle w:val="02"/>
      </w:pPr>
      <w:r>
        <w:rPr>
          <w:rFonts w:hint="eastAsia"/>
        </w:rPr>
        <w:t>在丧失了政府补贴补贴之后，消费者的购买新能源电动车的费用大幅上升，使他们的购买热情受到了极大的打击，从而造成了比亚迪公司汽车销售大幅下滑。在2019年政府财政补贴还没有正式退出之前，很多消费者都赶在补贴退出之前进行疯狂地购买，新能源汽车的销售持续攀升，比亚迪一整年销售451246台。在2020年与上年同期相比，环比下滑9.7%，新能源车累计销售219353台，环比下滑3.43%。</w:t>
      </w:r>
    </w:p>
    <w:p w:rsidR="007B2861" w:rsidRDefault="0061648C">
      <w:pPr>
        <w:pStyle w:val="00"/>
      </w:pPr>
      <w:bookmarkStart w:id="27" w:name="_Toc7212"/>
      <w:r>
        <w:rPr>
          <w:rFonts w:hint="eastAsia"/>
        </w:rPr>
        <w:t>（三）核心业务不突出</w:t>
      </w:r>
      <w:bookmarkEnd w:id="27"/>
    </w:p>
    <w:p w:rsidR="007B2861" w:rsidRDefault="0061648C">
      <w:pPr>
        <w:pStyle w:val="02"/>
      </w:pPr>
      <w:r>
        <w:rPr>
          <w:rFonts w:hint="eastAsia"/>
        </w:rPr>
        <w:t>从比亚迪主要业务的构成来看，比亚迪在汽车及相关业务中占有很大比重，但与 汽车业务比较起来，IT、电池业务等业务却没有那么显著，这与比亚迪原身的业务有着密切的联系。后来，比亚迪公司通过并购、合资等方式进入新能源汽车领域，占据了很大的市场，其盈利能力甚至比 IT和电池行业还要高。</w:t>
      </w:r>
    </w:p>
    <w:p w:rsidR="007B2861" w:rsidRDefault="0061648C">
      <w:pPr>
        <w:pStyle w:val="02"/>
      </w:pPr>
      <w:r>
        <w:rPr>
          <w:rFonts w:hint="eastAsia"/>
        </w:rPr>
        <w:t>比亚迪公布的2019年度报表中，营收1277亿元，较上年同期下滑1.78%，公司股东的净利润为16亿元，较上年同期减少42.03%。根据2020年公司第一季度财务报表公布的公司业绩，其利润范围在5千万到15000万之间，较上年同期下滑80%-93%。第一季的盈利出现了巨大的下滑，除了外在的影响之外，还有一个重要的原因就是公司的战略决策上也存在一定的失误。</w:t>
      </w:r>
    </w:p>
    <w:p w:rsidR="007B2861" w:rsidRDefault="0061648C">
      <w:pPr>
        <w:pStyle w:val="02"/>
      </w:pPr>
      <w:r>
        <w:rPr>
          <w:rFonts w:hint="eastAsia"/>
        </w:rPr>
        <w:t>比亚迪从电子工业起步，90年代开始成为世界上第一大手机生产厂商，2005年生产出了自己的磷酸铁锂，并于2008年实现了量产。然而，由于缺乏技术和市场上的竞争，公司将全部精力放在了搭载整车生产上，由于没有及时巩固自己在电池方面的技术优势，使得宁德时代成为了新一代的电池生产厂商。比亚迪和宁德时代分别占据了17.3%的市场，占据了51.01%的市场，这一点，宁德时代在电池领域已经大大已经超过了比亚迪。在整车销售汽车行业也显示出，因为政府补贴的退出，比亚迪落后特斯拉，丢掉了销售第一的位置。</w:t>
      </w:r>
    </w:p>
    <w:p w:rsidR="007B2861" w:rsidRDefault="0061648C" w:rsidP="009A54F9">
      <w:pPr>
        <w:pStyle w:val="0"/>
        <w:spacing w:before="312" w:after="312"/>
      </w:pPr>
      <w:bookmarkStart w:id="28" w:name="_Toc27705"/>
      <w:r>
        <w:rPr>
          <w:rFonts w:hint="eastAsia"/>
        </w:rPr>
        <w:lastRenderedPageBreak/>
        <w:t>六、比亚迪未来发展建议</w:t>
      </w:r>
      <w:bookmarkEnd w:id="28"/>
    </w:p>
    <w:p w:rsidR="007B2861" w:rsidRDefault="0061648C">
      <w:pPr>
        <w:pStyle w:val="00"/>
      </w:pPr>
      <w:bookmarkStart w:id="29" w:name="_Toc8707"/>
      <w:r>
        <w:rPr>
          <w:rFonts w:hint="eastAsia"/>
        </w:rPr>
        <w:t>（一）合理利用政府补助，把握未来发展趋势</w:t>
      </w:r>
      <w:bookmarkEnd w:id="29"/>
    </w:p>
    <w:p w:rsidR="007B2861" w:rsidRDefault="0061648C">
      <w:pPr>
        <w:pStyle w:val="02"/>
      </w:pPr>
      <w:r>
        <w:rPr>
          <w:rFonts w:hint="eastAsia"/>
        </w:rPr>
        <w:t>从2009到现在，我们国家已经出台了一套关于新能源的财政措施，有直接的财政购买补助，也有基础设施和交通设施的技术扶持，可以说是一个相对完善的新能源汽车政策。前期的政府采购和税费，让一批新能源车公司“富起来”了，但在今年的后半段，政府的补贴全部被撤掉，很多新能源汽车公司都遭受了沉重的打击，比如比亚迪公司。面对这样的金融危机，比亚迪应该充分发挥政府的支持作用，包括资金、基建、技术支持、技术支持、科研经费配置、自主研发、技术创新等。尤其是核心与关键零件的技术研究与开发。</w:t>
      </w:r>
    </w:p>
    <w:p w:rsidR="007B2861" w:rsidRDefault="0061648C">
      <w:pPr>
        <w:pStyle w:val="00"/>
      </w:pPr>
      <w:bookmarkStart w:id="30" w:name="_Toc20867"/>
      <w:r>
        <w:rPr>
          <w:rFonts w:hint="eastAsia"/>
        </w:rPr>
        <w:t>（二）坚持“垂直整合模式”的同时“开放生态”</w:t>
      </w:r>
      <w:bookmarkEnd w:id="30"/>
    </w:p>
    <w:p w:rsidR="007B2861" w:rsidRDefault="0061648C">
      <w:pPr>
        <w:pStyle w:val="02"/>
      </w:pPr>
      <w:r>
        <w:rPr>
          <w:rFonts w:hint="eastAsia"/>
        </w:rPr>
        <w:t>汽车业虽然利润不高，但也有很多的供货商，如果每一家零部件工厂都有10%的盈利能力，那么汽车总装厂就很难进行盈利？比亚迪公司在降低配件供货商和降低中间商的情况下，开始进入零件制造领域。根据比亚迪官方的说法，比亚迪公司可以生产出汽车的的全部零件，但不包括车胎和玻璃。</w:t>
      </w:r>
    </w:p>
    <w:p w:rsidR="007B2861" w:rsidRDefault="0061648C">
      <w:pPr>
        <w:pStyle w:val="02"/>
      </w:pPr>
      <w:r>
        <w:rPr>
          <w:rFonts w:hint="eastAsia"/>
        </w:rPr>
        <w:t>比亚迪的大多数零件都是自主制造的，因此其利润应该保持在一个很高的水准。比亚迪公司公布的业绩显示，比亚迪在前一、二年的利润为15%至30%，而在2020年则达到了较高的水平，利润空间达到了25%以上。今年的第一季度是19.4%。总体来说，比亚迪的毛利率要高于吉利和蔚来，垂直一体化的确起到了很大的推动作用，但两者之间的差异并没有想象中的大，一个是以传统燃料为主导的，一个是新能源汽车，比亚迪的核心零件，包括电池，马达，电子控制，都是他们自己生产的。尽管垂直一体化并未为比亚迪提供期望的盈利，但其关键的部分还是让它获得了意外的收益。经过十多年的发展，比亚迪逐渐向国产轿车行业的“领头羊”位置迈进，许多人曾经认为比亚迪是一只“丑小鸭”，但如今却发生了翻天覆地的变化。不过，如果细究起来，比亚迪能够走到今天这一步，完全可以说是一种积累。</w:t>
      </w:r>
    </w:p>
    <w:p w:rsidR="007B2861" w:rsidRDefault="0061648C">
      <w:pPr>
        <w:pStyle w:val="02"/>
      </w:pPr>
      <w:r>
        <w:rPr>
          <w:rFonts w:hint="eastAsia"/>
        </w:rPr>
        <w:t>在紧紧抓住关键技术的前提下，比亚迪一直在努力构建一个开放的生态系统，在半导体、新材料、物联网上、AR和 VR技术方面不断寻找合作伙伴，实现行业的双向支持，巩固行业的产业链的实力。</w:t>
      </w:r>
    </w:p>
    <w:p w:rsidR="007B2861" w:rsidRDefault="0061648C">
      <w:pPr>
        <w:pStyle w:val="00"/>
      </w:pPr>
      <w:bookmarkStart w:id="31" w:name="_Toc18523"/>
      <w:r>
        <w:rPr>
          <w:rFonts w:hint="eastAsia"/>
        </w:rPr>
        <w:t>（三）专注核心业务，提高市场竞争力</w:t>
      </w:r>
      <w:bookmarkEnd w:id="31"/>
    </w:p>
    <w:p w:rsidR="007B2861" w:rsidRDefault="0061648C">
      <w:pPr>
        <w:pStyle w:val="02"/>
      </w:pPr>
      <w:r>
        <w:rPr>
          <w:rFonts w:hint="eastAsia"/>
        </w:rPr>
        <w:lastRenderedPageBreak/>
        <w:t>从财务报表中可以看出，比亚迪目前主要业务有三大部分：手机业务、汽车及相关产品、电池业务。由于新能源车在汽车界的发展势头很猛，利润也很高，比亚迪公司也开始将重点转移到了汽车领域，目前已经宣布停止生产燃油汽车了。但市场调整后，新能源车的销售也比较分散，包括小轿车和客车。汽车企业经营的类型多了，利润就会增加，但投资量也会增加，从而增加了成本，增加了企业的内部管理难度。因此，比亚迪公司应该集中精力在自己的电池和新能源汽车领域，通过业务细分，重点发展其主要的业务，全面提高公司的利润。</w:t>
      </w:r>
    </w:p>
    <w:p w:rsidR="007B2861" w:rsidRDefault="0061648C" w:rsidP="009A54F9">
      <w:pPr>
        <w:pStyle w:val="0"/>
        <w:spacing w:before="312" w:after="312"/>
      </w:pPr>
      <w:bookmarkStart w:id="32" w:name="_Toc11257"/>
      <w:r>
        <w:rPr>
          <w:rFonts w:hint="eastAsia"/>
        </w:rPr>
        <w:t>结语</w:t>
      </w:r>
      <w:bookmarkEnd w:id="32"/>
    </w:p>
    <w:p w:rsidR="007B2861" w:rsidRDefault="0061648C">
      <w:pPr>
        <w:pStyle w:val="02"/>
      </w:pPr>
      <w:r>
        <w:rPr>
          <w:rFonts w:hint="eastAsia"/>
        </w:rPr>
        <w:t>一个公司的经营实力是否具有长期意义，其经营规模将直接关系到公司的可持续发展和财务报表的健康有关。本文主要是就比亚迪公司的财政报表进行一定分析，回应了相关面临的问题。加快比亚迪的财务报表管理能力，提升资金的使用效益，是比亚迪实现资产价值最大化的最好途径。</w:t>
      </w:r>
    </w:p>
    <w:p w:rsidR="007B2861" w:rsidRDefault="007B2861">
      <w:pPr>
        <w:pStyle w:val="02"/>
      </w:pPr>
    </w:p>
    <w:p w:rsidR="007B2861" w:rsidRDefault="007B2861">
      <w:pPr>
        <w:pStyle w:val="001"/>
      </w:pPr>
    </w:p>
    <w:p w:rsidR="007B2861" w:rsidRDefault="007B2861">
      <w:pPr>
        <w:pStyle w:val="001"/>
      </w:pPr>
    </w:p>
    <w:p w:rsidR="007B2861" w:rsidRDefault="007B2861">
      <w:pPr>
        <w:pStyle w:val="001"/>
      </w:pPr>
    </w:p>
    <w:p w:rsidR="007B2861" w:rsidRDefault="007B2861">
      <w:pPr>
        <w:pStyle w:val="001"/>
      </w:pPr>
    </w:p>
    <w:p w:rsidR="007B2861" w:rsidRDefault="007B2861">
      <w:pPr>
        <w:pStyle w:val="001"/>
      </w:pPr>
    </w:p>
    <w:p w:rsidR="007B2861" w:rsidRDefault="007B2861">
      <w:pPr>
        <w:pStyle w:val="001"/>
      </w:pPr>
    </w:p>
    <w:p w:rsidR="007B2861" w:rsidRDefault="007B2861">
      <w:pPr>
        <w:pStyle w:val="001"/>
      </w:pPr>
    </w:p>
    <w:p w:rsidR="007B2861" w:rsidRDefault="007B2861">
      <w:pPr>
        <w:pStyle w:val="001"/>
      </w:pPr>
    </w:p>
    <w:p w:rsidR="007B2861" w:rsidRDefault="007B2861">
      <w:pPr>
        <w:pStyle w:val="001"/>
      </w:pPr>
    </w:p>
    <w:p w:rsidR="007B2861" w:rsidRDefault="007B2861">
      <w:pPr>
        <w:pStyle w:val="001"/>
      </w:pPr>
    </w:p>
    <w:p w:rsidR="007B2861" w:rsidRDefault="0061648C">
      <w:pPr>
        <w:pStyle w:val="001"/>
      </w:pPr>
      <w:r>
        <w:rPr>
          <w:rFonts w:hint="eastAsia"/>
        </w:rPr>
        <w:t>参考文献</w:t>
      </w:r>
    </w:p>
    <w:p w:rsidR="007B2861" w:rsidRDefault="0061648C">
      <w:pPr>
        <w:widowControl/>
        <w:spacing w:line="360" w:lineRule="auto"/>
        <w:jc w:val="left"/>
        <w:rPr>
          <w:rFonts w:ascii="宋体" w:hAnsi="宋体"/>
          <w:szCs w:val="21"/>
        </w:rPr>
      </w:pPr>
      <w:r>
        <w:rPr>
          <w:rFonts w:ascii="宋体" w:hAnsi="宋体"/>
          <w:szCs w:val="21"/>
        </w:rPr>
        <w:t>[1]高滕,滕静涛.比亚迪股份有限公司财务指标分析[J].经济研究导刊,2017(14):117-121.</w:t>
      </w:r>
    </w:p>
    <w:p w:rsidR="007B2861" w:rsidRDefault="0061648C">
      <w:pPr>
        <w:widowControl/>
        <w:spacing w:line="360" w:lineRule="auto"/>
        <w:jc w:val="left"/>
        <w:rPr>
          <w:rFonts w:ascii="宋体" w:hAnsi="宋体"/>
          <w:szCs w:val="21"/>
        </w:rPr>
      </w:pPr>
      <w:r>
        <w:rPr>
          <w:rFonts w:ascii="宋体" w:hAnsi="宋体"/>
          <w:szCs w:val="21"/>
        </w:rPr>
        <w:t>[2]刘思培.财务报表分析——以比亚迪股份有限公司为例[J].时代金融,2017(08):226-227.</w:t>
      </w:r>
    </w:p>
    <w:p w:rsidR="007B2861" w:rsidRDefault="0061648C">
      <w:pPr>
        <w:widowControl/>
        <w:spacing w:line="360" w:lineRule="auto"/>
        <w:jc w:val="left"/>
        <w:rPr>
          <w:rFonts w:ascii="宋体" w:hAnsi="宋体"/>
          <w:szCs w:val="21"/>
        </w:rPr>
      </w:pPr>
      <w:r>
        <w:rPr>
          <w:rFonts w:ascii="宋体" w:hAnsi="宋体"/>
          <w:szCs w:val="21"/>
        </w:rPr>
        <w:t>[3]范燕.基于上市公司财务报表的综合绩效评价探析——以比亚迪股份有限公司为例[J].现代经济信息,2012(19):150-151.</w:t>
      </w:r>
    </w:p>
    <w:p w:rsidR="007B2861" w:rsidRDefault="0061648C">
      <w:pPr>
        <w:widowControl/>
        <w:spacing w:line="360" w:lineRule="auto"/>
        <w:jc w:val="left"/>
        <w:rPr>
          <w:rFonts w:ascii="宋体" w:hAnsi="宋体"/>
          <w:szCs w:val="21"/>
        </w:rPr>
      </w:pPr>
      <w:r>
        <w:rPr>
          <w:rFonts w:ascii="宋体" w:hAnsi="宋体"/>
          <w:szCs w:val="21"/>
        </w:rPr>
        <w:t>[</w:t>
      </w:r>
      <w:r>
        <w:rPr>
          <w:rFonts w:ascii="宋体" w:hAnsi="宋体" w:hint="eastAsia"/>
          <w:szCs w:val="21"/>
        </w:rPr>
        <w:t>4</w:t>
      </w:r>
      <w:r>
        <w:rPr>
          <w:rFonts w:ascii="宋体" w:hAnsi="宋体"/>
          <w:szCs w:val="21"/>
        </w:rPr>
        <w:t>]黄晔虹.财务报表分析在国企财务管理中的应用[J].现代企业,2022(07):180-181.</w:t>
      </w:r>
    </w:p>
    <w:p w:rsidR="007B2861" w:rsidRDefault="0061648C">
      <w:pPr>
        <w:widowControl/>
        <w:spacing w:line="360" w:lineRule="auto"/>
        <w:jc w:val="left"/>
        <w:rPr>
          <w:rFonts w:ascii="宋体" w:hAnsi="宋体"/>
          <w:szCs w:val="21"/>
        </w:rPr>
      </w:pPr>
      <w:r>
        <w:rPr>
          <w:rFonts w:ascii="宋体" w:hAnsi="宋体"/>
          <w:szCs w:val="21"/>
        </w:rPr>
        <w:t>[</w:t>
      </w:r>
      <w:r>
        <w:rPr>
          <w:rFonts w:ascii="宋体" w:hAnsi="宋体" w:hint="eastAsia"/>
          <w:szCs w:val="21"/>
        </w:rPr>
        <w:t>5</w:t>
      </w:r>
      <w:r>
        <w:rPr>
          <w:rFonts w:ascii="宋体" w:hAnsi="宋体"/>
          <w:szCs w:val="21"/>
        </w:rPr>
        <w:t>]阚小宇.企业财务报表分析存在的问题与对策[J].财富生活,2022(12):148-150.</w:t>
      </w:r>
    </w:p>
    <w:p w:rsidR="007B2861" w:rsidRDefault="0061648C">
      <w:pPr>
        <w:widowControl/>
        <w:spacing w:line="360" w:lineRule="auto"/>
        <w:jc w:val="left"/>
        <w:rPr>
          <w:rFonts w:ascii="宋体" w:hAnsi="宋体"/>
          <w:szCs w:val="21"/>
        </w:rPr>
      </w:pPr>
      <w:r>
        <w:rPr>
          <w:rFonts w:ascii="宋体" w:hAnsi="宋体"/>
          <w:szCs w:val="21"/>
        </w:rPr>
        <w:t>[</w:t>
      </w:r>
      <w:r>
        <w:rPr>
          <w:rFonts w:ascii="宋体" w:hAnsi="宋体" w:hint="eastAsia"/>
          <w:szCs w:val="21"/>
        </w:rPr>
        <w:t>6</w:t>
      </w:r>
      <w:r>
        <w:rPr>
          <w:rFonts w:ascii="宋体" w:hAnsi="宋体"/>
          <w:szCs w:val="21"/>
        </w:rPr>
        <w:t>]董颖.企业财务报表分析存在的问题及对策[J].大众投资指南,2022(12):137-139.</w:t>
      </w:r>
    </w:p>
    <w:p w:rsidR="007B2861" w:rsidRDefault="0061648C">
      <w:pPr>
        <w:widowControl/>
        <w:spacing w:line="360" w:lineRule="auto"/>
        <w:jc w:val="left"/>
        <w:rPr>
          <w:rFonts w:ascii="宋体" w:hAnsi="宋体"/>
          <w:szCs w:val="21"/>
        </w:rPr>
      </w:pPr>
      <w:r>
        <w:rPr>
          <w:rFonts w:ascii="宋体" w:hAnsi="宋体"/>
          <w:szCs w:val="21"/>
        </w:rPr>
        <w:t>[</w:t>
      </w:r>
      <w:r>
        <w:rPr>
          <w:rFonts w:ascii="宋体" w:hAnsi="宋体" w:hint="eastAsia"/>
          <w:szCs w:val="21"/>
        </w:rPr>
        <w:t>7</w:t>
      </w:r>
      <w:r>
        <w:rPr>
          <w:rFonts w:ascii="宋体" w:hAnsi="宋体"/>
          <w:szCs w:val="21"/>
        </w:rPr>
        <w:t>]陆永敏.基于战略视角的上市公司财务报表分析[J].现代商业,2022(16):162-165.DOI:10.14097/j.cnki.5392/2022.16.059.</w:t>
      </w:r>
    </w:p>
    <w:p w:rsidR="007B2861" w:rsidRDefault="0061648C">
      <w:pPr>
        <w:widowControl/>
        <w:spacing w:line="360" w:lineRule="auto"/>
        <w:jc w:val="left"/>
        <w:rPr>
          <w:rFonts w:ascii="宋体" w:hAnsi="宋体"/>
          <w:szCs w:val="21"/>
        </w:rPr>
      </w:pPr>
      <w:r>
        <w:rPr>
          <w:rFonts w:ascii="宋体" w:hAnsi="宋体"/>
          <w:szCs w:val="21"/>
        </w:rPr>
        <w:t>[</w:t>
      </w:r>
      <w:r>
        <w:rPr>
          <w:rFonts w:ascii="宋体" w:hAnsi="宋体" w:hint="eastAsia"/>
          <w:szCs w:val="21"/>
        </w:rPr>
        <w:t>8</w:t>
      </w:r>
      <w:r>
        <w:rPr>
          <w:rFonts w:ascii="宋体" w:hAnsi="宋体"/>
          <w:szCs w:val="21"/>
        </w:rPr>
        <w:t>]王旭.企业财务报表分析存在的问题与对策[J].质量与市场,2022(09):7-9.</w:t>
      </w:r>
    </w:p>
    <w:p w:rsidR="007B2861" w:rsidRDefault="0061648C">
      <w:pPr>
        <w:widowControl/>
        <w:spacing w:line="360" w:lineRule="auto"/>
        <w:jc w:val="left"/>
        <w:rPr>
          <w:rFonts w:ascii="宋体" w:hAnsi="宋体"/>
          <w:szCs w:val="21"/>
        </w:rPr>
      </w:pPr>
      <w:r>
        <w:rPr>
          <w:rFonts w:ascii="宋体" w:hAnsi="宋体"/>
          <w:szCs w:val="21"/>
        </w:rPr>
        <w:t>[</w:t>
      </w:r>
      <w:r>
        <w:rPr>
          <w:rFonts w:ascii="宋体" w:hAnsi="宋体" w:hint="eastAsia"/>
          <w:szCs w:val="21"/>
        </w:rPr>
        <w:t>9</w:t>
      </w:r>
      <w:r>
        <w:rPr>
          <w:rFonts w:ascii="宋体" w:hAnsi="宋体"/>
          <w:szCs w:val="21"/>
        </w:rPr>
        <w:t>]高滕,滕静涛.比亚迪股份有限公司财务指标分析[J].经济研究导刊,2017(14):117-121.</w:t>
      </w:r>
    </w:p>
    <w:p w:rsidR="007B2861" w:rsidRDefault="0061648C">
      <w:pPr>
        <w:widowControl/>
        <w:spacing w:line="360" w:lineRule="auto"/>
        <w:jc w:val="left"/>
        <w:rPr>
          <w:rFonts w:ascii="宋体" w:hAnsi="宋体"/>
          <w:szCs w:val="21"/>
        </w:rPr>
      </w:pPr>
      <w:r>
        <w:rPr>
          <w:rFonts w:ascii="宋体" w:hAnsi="宋体"/>
          <w:szCs w:val="21"/>
        </w:rPr>
        <w:t>[</w:t>
      </w:r>
      <w:r>
        <w:rPr>
          <w:rFonts w:ascii="宋体" w:hAnsi="宋体" w:hint="eastAsia"/>
          <w:szCs w:val="21"/>
        </w:rPr>
        <w:t>10</w:t>
      </w:r>
      <w:r>
        <w:rPr>
          <w:rFonts w:ascii="宋体" w:hAnsi="宋体"/>
          <w:szCs w:val="21"/>
        </w:rPr>
        <w:t>]刘思培.财务报表分析——以比亚迪股份有限公司为例[J].时代金融,2017(08):226-227.</w:t>
      </w:r>
    </w:p>
    <w:p w:rsidR="007B2861" w:rsidRDefault="0061648C">
      <w:pPr>
        <w:widowControl/>
        <w:spacing w:line="360" w:lineRule="auto"/>
        <w:jc w:val="left"/>
        <w:rPr>
          <w:rFonts w:ascii="宋体" w:hAnsi="宋体"/>
          <w:szCs w:val="21"/>
        </w:rPr>
      </w:pPr>
      <w:r>
        <w:rPr>
          <w:rFonts w:ascii="宋体" w:hAnsi="宋体"/>
          <w:szCs w:val="21"/>
        </w:rPr>
        <w:t>[</w:t>
      </w:r>
      <w:r>
        <w:rPr>
          <w:rFonts w:ascii="宋体" w:hAnsi="宋体" w:hint="eastAsia"/>
          <w:szCs w:val="21"/>
        </w:rPr>
        <w:t>11</w:t>
      </w:r>
      <w:r>
        <w:rPr>
          <w:rFonts w:ascii="宋体" w:hAnsi="宋体"/>
          <w:szCs w:val="21"/>
        </w:rPr>
        <w:t>]范燕.基于上市公司财务报表的综合绩效评价探析——以比亚迪股份有限公司为例[J].现代经济信息,2012(19):150-151.</w:t>
      </w:r>
    </w:p>
    <w:p w:rsidR="007B2861" w:rsidRDefault="007B2861">
      <w:pPr>
        <w:widowControl/>
        <w:jc w:val="left"/>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61648C" w:rsidP="009A54F9">
      <w:pPr>
        <w:pStyle w:val="0"/>
        <w:spacing w:before="312" w:after="312"/>
        <w:jc w:val="center"/>
      </w:pPr>
      <w:bookmarkStart w:id="33" w:name="_Toc24601"/>
      <w:r>
        <w:lastRenderedPageBreak/>
        <w:t>致谢</w:t>
      </w:r>
      <w:bookmarkEnd w:id="33"/>
    </w:p>
    <w:p w:rsidR="007B2861" w:rsidRDefault="007B2861">
      <w:pPr>
        <w:ind w:right="960"/>
        <w:rPr>
          <w:rFonts w:ascii="宋体" w:hAnsi="宋体"/>
          <w:b/>
          <w:bCs/>
          <w:sz w:val="24"/>
        </w:rPr>
      </w:pPr>
    </w:p>
    <w:p w:rsidR="007B2861" w:rsidRDefault="0061648C">
      <w:pPr>
        <w:spacing w:before="240" w:after="240" w:line="360" w:lineRule="auto"/>
        <w:ind w:firstLineChars="200" w:firstLine="480"/>
        <w:rPr>
          <w:rStyle w:val="emsimilar"/>
          <w:color w:val="auto"/>
          <w:sz w:val="24"/>
        </w:rPr>
      </w:pPr>
      <w:bookmarkStart w:id="34" w:name="_GoBack"/>
      <w:r>
        <w:rPr>
          <w:rStyle w:val="emsimilar"/>
          <w:rFonts w:hint="eastAsia"/>
          <w:color w:val="auto"/>
          <w:sz w:val="24"/>
        </w:rPr>
        <w:t>在学习的过程里，我很幸运的得到了很多老师与同学所给予的帮助，正好此次，我想借论文之际，在文中对他们真诚的表以致谢。初次创作论文，的确遇到了很多困境，资料的查阅以及对于整篇论文的理解角度等等，我都处于比较懵懂的状态，幸好有我的辅导老师以及</w:t>
      </w:r>
      <w:r w:rsidR="009A54F9">
        <w:rPr>
          <w:rStyle w:val="emsimilar"/>
          <w:rFonts w:hint="eastAsia"/>
          <w:color w:val="auto"/>
          <w:sz w:val="24"/>
        </w:rPr>
        <w:t>同学</w:t>
      </w:r>
      <w:r>
        <w:rPr>
          <w:rStyle w:val="emsimilar"/>
          <w:rFonts w:hint="eastAsia"/>
          <w:color w:val="auto"/>
          <w:sz w:val="24"/>
        </w:rPr>
        <w:t>的帮助下，我不仅在迷茫中得到了相关启发，也对我的论文有了全新的理解与创作，</w:t>
      </w:r>
      <w:r>
        <w:rPr>
          <w:sz w:val="24"/>
          <w:lang w:val="zh-CN"/>
        </w:rPr>
        <w:t>在此也向帮助我的各位老师表示我最衷心的感谢。</w:t>
      </w:r>
      <w:r>
        <w:rPr>
          <w:rFonts w:hint="eastAsia"/>
          <w:sz w:val="24"/>
        </w:rPr>
        <w:t>同时，我还想感谢我的家人，是你们无微不至的照顾以及理解，才让我能自主思考，拥有属于自己的青春，你们不仅帮助我完成学业，更是我人生道路的指导者，因为有你们，我少走了许多弯路。</w:t>
      </w:r>
      <w:r>
        <w:rPr>
          <w:rStyle w:val="emsimilar"/>
          <w:rFonts w:hint="eastAsia"/>
          <w:color w:val="auto"/>
          <w:sz w:val="24"/>
        </w:rPr>
        <w:t>最后，由于我的认知水平平平，在创作的过程中难免会出现学识不成熟，内容研究不够精准的情况，希望各位老师能给予指正。</w:t>
      </w:r>
    </w:p>
    <w:bookmarkEnd w:id="34"/>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7B2861">
      <w:pPr>
        <w:ind w:right="960"/>
        <w:rPr>
          <w:rFonts w:ascii="宋体" w:hAnsi="宋体"/>
          <w:sz w:val="24"/>
        </w:rPr>
        <w:sectPr w:rsidR="007B2861">
          <w:footerReference w:type="default" r:id="rId10"/>
          <w:pgSz w:w="11906" w:h="16838"/>
          <w:pgMar w:top="1361" w:right="1361" w:bottom="1361" w:left="1361" w:header="851" w:footer="992" w:gutter="0"/>
          <w:pgNumType w:start="1"/>
          <w:cols w:space="425"/>
          <w:docGrid w:type="lines" w:linePitch="312"/>
        </w:sectPr>
      </w:pPr>
    </w:p>
    <w:p w:rsidR="007B2861" w:rsidRDefault="007B2861">
      <w:pPr>
        <w:ind w:right="960"/>
        <w:rPr>
          <w:rFonts w:ascii="宋体" w:hAnsi="宋体"/>
          <w:sz w:val="24"/>
        </w:rPr>
      </w:pPr>
    </w:p>
    <w:p w:rsidR="007B2861" w:rsidRDefault="007B2861">
      <w:pPr>
        <w:ind w:right="960"/>
        <w:rPr>
          <w:rFonts w:ascii="宋体" w:hAnsi="宋体"/>
          <w:sz w:val="24"/>
        </w:rPr>
      </w:pPr>
    </w:p>
    <w:p w:rsidR="007B2861" w:rsidRDefault="0061648C">
      <w:pPr>
        <w:spacing w:line="360" w:lineRule="auto"/>
        <w:jc w:val="center"/>
        <w:rPr>
          <w:rFonts w:ascii="黑体" w:eastAsia="黑体" w:hAnsi="宋体"/>
          <w:sz w:val="44"/>
          <w:szCs w:val="44"/>
        </w:rPr>
      </w:pPr>
      <w:r>
        <w:rPr>
          <w:rFonts w:ascii="黑体" w:eastAsia="黑体" w:hAnsi="宋体" w:hint="eastAsia"/>
          <w:sz w:val="44"/>
          <w:szCs w:val="44"/>
        </w:rPr>
        <w:t>广东金融学院成人高等教育</w:t>
      </w:r>
    </w:p>
    <w:p w:rsidR="007B2861" w:rsidRDefault="0061648C">
      <w:pPr>
        <w:spacing w:line="360" w:lineRule="auto"/>
        <w:jc w:val="center"/>
        <w:rPr>
          <w:rFonts w:ascii="黑体" w:eastAsia="黑体" w:hAnsi="宋体"/>
          <w:sz w:val="44"/>
          <w:szCs w:val="44"/>
        </w:rPr>
      </w:pPr>
      <w:r>
        <w:rPr>
          <w:rFonts w:ascii="黑体" w:eastAsia="黑体" w:hAnsi="宋体" w:hint="eastAsia"/>
          <w:sz w:val="44"/>
          <w:szCs w:val="44"/>
        </w:rPr>
        <w:t>毕业论文（设计）评审表</w:t>
      </w: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6"/>
        <w:gridCol w:w="8313"/>
      </w:tblGrid>
      <w:tr w:rsidR="007B2861">
        <w:trPr>
          <w:trHeight w:val="4609"/>
        </w:trPr>
        <w:tc>
          <w:tcPr>
            <w:tcW w:w="1166" w:type="dxa"/>
            <w:textDirection w:val="tbRlV"/>
            <w:vAlign w:val="center"/>
          </w:tcPr>
          <w:p w:rsidR="007B2861" w:rsidRDefault="0061648C">
            <w:pPr>
              <w:spacing w:line="360" w:lineRule="auto"/>
              <w:ind w:left="113" w:right="113"/>
              <w:jc w:val="center"/>
              <w:rPr>
                <w:rFonts w:ascii="宋体" w:hAnsi="宋体"/>
                <w:sz w:val="24"/>
              </w:rPr>
            </w:pPr>
            <w:r>
              <w:rPr>
                <w:rFonts w:ascii="宋体" w:hAnsi="宋体" w:hint="eastAsia"/>
                <w:sz w:val="24"/>
              </w:rPr>
              <w:t>指 导 教 师 评 语</w:t>
            </w:r>
          </w:p>
        </w:tc>
        <w:tc>
          <w:tcPr>
            <w:tcW w:w="8313" w:type="dxa"/>
          </w:tcPr>
          <w:p w:rsidR="007B2861" w:rsidRDefault="007B2861">
            <w:pPr>
              <w:spacing w:line="360" w:lineRule="auto"/>
              <w:ind w:firstLine="480"/>
              <w:rPr>
                <w:rFonts w:ascii="宋体" w:hAnsi="宋体"/>
                <w:sz w:val="24"/>
              </w:rPr>
            </w:pPr>
          </w:p>
          <w:p w:rsidR="007B2861" w:rsidRDefault="007B2861">
            <w:pPr>
              <w:spacing w:line="360" w:lineRule="auto"/>
              <w:ind w:firstLine="480"/>
              <w:rPr>
                <w:rFonts w:ascii="宋体" w:hAnsi="宋体"/>
                <w:sz w:val="24"/>
              </w:rPr>
            </w:pPr>
          </w:p>
          <w:p w:rsidR="007B2861" w:rsidRDefault="007B2861">
            <w:pPr>
              <w:spacing w:line="360" w:lineRule="auto"/>
              <w:ind w:firstLine="480"/>
              <w:rPr>
                <w:rFonts w:ascii="宋体" w:hAnsi="宋体"/>
                <w:sz w:val="24"/>
              </w:rPr>
            </w:pPr>
          </w:p>
          <w:p w:rsidR="007B2861" w:rsidRDefault="007B2861">
            <w:pPr>
              <w:spacing w:line="360" w:lineRule="auto"/>
              <w:ind w:firstLine="480"/>
              <w:rPr>
                <w:rFonts w:ascii="宋体" w:hAnsi="宋体"/>
                <w:sz w:val="24"/>
              </w:rPr>
            </w:pPr>
          </w:p>
          <w:p w:rsidR="007B2861" w:rsidRDefault="007B2861">
            <w:pPr>
              <w:spacing w:line="360" w:lineRule="auto"/>
              <w:ind w:firstLine="480"/>
              <w:rPr>
                <w:rFonts w:ascii="宋体" w:hAnsi="宋体"/>
                <w:sz w:val="24"/>
              </w:rPr>
            </w:pPr>
          </w:p>
          <w:p w:rsidR="007B2861" w:rsidRDefault="007B2861">
            <w:pPr>
              <w:spacing w:line="360" w:lineRule="auto"/>
              <w:ind w:firstLine="480"/>
              <w:rPr>
                <w:rFonts w:ascii="宋体" w:hAnsi="宋体"/>
                <w:sz w:val="24"/>
              </w:rPr>
            </w:pPr>
          </w:p>
          <w:p w:rsidR="007B2861" w:rsidRDefault="007B2861">
            <w:pPr>
              <w:spacing w:line="360" w:lineRule="auto"/>
              <w:rPr>
                <w:rFonts w:ascii="宋体" w:hAnsi="宋体"/>
                <w:sz w:val="24"/>
              </w:rPr>
            </w:pPr>
          </w:p>
          <w:p w:rsidR="007B2861" w:rsidRDefault="007B2861">
            <w:pPr>
              <w:spacing w:line="360" w:lineRule="auto"/>
              <w:ind w:firstLine="480"/>
              <w:rPr>
                <w:rFonts w:ascii="宋体" w:hAnsi="宋体"/>
                <w:sz w:val="24"/>
              </w:rPr>
            </w:pPr>
          </w:p>
          <w:p w:rsidR="007B2861" w:rsidRDefault="0061648C">
            <w:pPr>
              <w:spacing w:line="360" w:lineRule="auto"/>
              <w:rPr>
                <w:rFonts w:ascii="宋体" w:hAnsi="宋体"/>
                <w:sz w:val="24"/>
              </w:rPr>
            </w:pPr>
            <w:r>
              <w:rPr>
                <w:rFonts w:ascii="宋体" w:hAnsi="宋体" w:hint="eastAsia"/>
                <w:sz w:val="24"/>
              </w:rPr>
              <w:t xml:space="preserve">   </w:t>
            </w:r>
          </w:p>
          <w:p w:rsidR="007B2861" w:rsidRDefault="0061648C">
            <w:pPr>
              <w:spacing w:line="360" w:lineRule="auto"/>
              <w:rPr>
                <w:rFonts w:ascii="宋体" w:hAnsi="宋体"/>
                <w:sz w:val="24"/>
              </w:rPr>
            </w:pPr>
            <w:r>
              <w:rPr>
                <w:rFonts w:ascii="宋体" w:hAnsi="宋体" w:hint="eastAsia"/>
                <w:sz w:val="24"/>
              </w:rPr>
              <w:t>评分建议：                               指导老师（签名）：</w:t>
            </w:r>
          </w:p>
          <w:p w:rsidR="007B2861" w:rsidRDefault="0061648C">
            <w:pPr>
              <w:spacing w:line="360" w:lineRule="auto"/>
              <w:ind w:firstLine="480"/>
              <w:jc w:val="center"/>
              <w:rPr>
                <w:rFonts w:ascii="宋体" w:hAnsi="宋体"/>
                <w:sz w:val="24"/>
              </w:rPr>
            </w:pPr>
            <w:r>
              <w:rPr>
                <w:rFonts w:ascii="宋体" w:hAnsi="宋体" w:hint="eastAsia"/>
                <w:sz w:val="24"/>
              </w:rPr>
              <w:t xml:space="preserve">                             年   月   日</w:t>
            </w:r>
          </w:p>
        </w:tc>
      </w:tr>
      <w:tr w:rsidR="007B2861">
        <w:trPr>
          <w:trHeight w:val="3176"/>
        </w:trPr>
        <w:tc>
          <w:tcPr>
            <w:tcW w:w="1166" w:type="dxa"/>
            <w:textDirection w:val="tbRlV"/>
            <w:vAlign w:val="center"/>
          </w:tcPr>
          <w:p w:rsidR="007B2861" w:rsidRDefault="0061648C">
            <w:pPr>
              <w:spacing w:line="360" w:lineRule="auto"/>
              <w:ind w:left="113" w:right="113"/>
              <w:jc w:val="center"/>
              <w:rPr>
                <w:rFonts w:ascii="宋体" w:hAnsi="宋体"/>
                <w:sz w:val="24"/>
              </w:rPr>
            </w:pPr>
            <w:r>
              <w:rPr>
                <w:rFonts w:ascii="宋体" w:hAnsi="宋体" w:hint="eastAsia"/>
                <w:sz w:val="24"/>
              </w:rPr>
              <w:t>答 辩 评 语 及 成 绩</w:t>
            </w:r>
          </w:p>
        </w:tc>
        <w:tc>
          <w:tcPr>
            <w:tcW w:w="8313" w:type="dxa"/>
          </w:tcPr>
          <w:p w:rsidR="007B2861" w:rsidRDefault="007B2861">
            <w:pPr>
              <w:spacing w:line="360" w:lineRule="auto"/>
              <w:ind w:firstLine="480"/>
              <w:rPr>
                <w:rFonts w:ascii="宋体" w:hAnsi="宋体"/>
                <w:sz w:val="24"/>
              </w:rPr>
            </w:pPr>
          </w:p>
          <w:p w:rsidR="007B2861" w:rsidRDefault="007B2861">
            <w:pPr>
              <w:spacing w:line="360" w:lineRule="auto"/>
              <w:ind w:firstLine="480"/>
              <w:rPr>
                <w:rFonts w:ascii="宋体" w:hAnsi="宋体"/>
                <w:sz w:val="24"/>
              </w:rPr>
            </w:pPr>
          </w:p>
          <w:p w:rsidR="007B2861" w:rsidRDefault="007B2861">
            <w:pPr>
              <w:spacing w:line="360" w:lineRule="auto"/>
              <w:rPr>
                <w:rFonts w:ascii="宋体" w:hAnsi="宋体"/>
                <w:sz w:val="24"/>
              </w:rPr>
            </w:pPr>
          </w:p>
          <w:p w:rsidR="007B2861" w:rsidRDefault="007B2861">
            <w:pPr>
              <w:spacing w:line="360" w:lineRule="auto"/>
              <w:rPr>
                <w:rFonts w:ascii="宋体" w:hAnsi="宋体"/>
                <w:sz w:val="24"/>
              </w:rPr>
            </w:pPr>
          </w:p>
          <w:p w:rsidR="007B2861" w:rsidRDefault="0061648C">
            <w:pPr>
              <w:spacing w:line="360" w:lineRule="auto"/>
              <w:ind w:firstLine="480"/>
              <w:jc w:val="center"/>
              <w:rPr>
                <w:rFonts w:ascii="宋体" w:hAnsi="宋体"/>
                <w:sz w:val="24"/>
              </w:rPr>
            </w:pPr>
            <w:r>
              <w:rPr>
                <w:rFonts w:ascii="宋体" w:hAnsi="宋体" w:hint="eastAsia"/>
                <w:sz w:val="24"/>
              </w:rPr>
              <w:t xml:space="preserve">                              </w:t>
            </w:r>
          </w:p>
          <w:p w:rsidR="007B2861" w:rsidRDefault="0061648C">
            <w:pPr>
              <w:spacing w:line="360" w:lineRule="auto"/>
              <w:rPr>
                <w:rFonts w:ascii="宋体" w:hAnsi="宋体"/>
                <w:sz w:val="24"/>
              </w:rPr>
            </w:pPr>
            <w:r>
              <w:rPr>
                <w:rFonts w:ascii="宋体" w:hAnsi="宋体" w:hint="eastAsia"/>
                <w:sz w:val="24"/>
              </w:rPr>
              <w:t>答辩成绩：                             答辩主持人（签名）：</w:t>
            </w:r>
          </w:p>
          <w:p w:rsidR="007B2861" w:rsidRDefault="0061648C">
            <w:pPr>
              <w:spacing w:line="360" w:lineRule="auto"/>
              <w:ind w:firstLine="480"/>
              <w:jc w:val="center"/>
              <w:rPr>
                <w:rFonts w:ascii="宋体" w:hAnsi="宋体"/>
                <w:sz w:val="24"/>
              </w:rPr>
            </w:pPr>
            <w:r>
              <w:rPr>
                <w:rFonts w:ascii="宋体" w:hAnsi="宋体" w:hint="eastAsia"/>
                <w:sz w:val="24"/>
              </w:rPr>
              <w:t xml:space="preserve">                              年   月   日</w:t>
            </w:r>
          </w:p>
        </w:tc>
      </w:tr>
      <w:tr w:rsidR="007B2861">
        <w:trPr>
          <w:cantSplit/>
          <w:trHeight w:val="2617"/>
        </w:trPr>
        <w:tc>
          <w:tcPr>
            <w:tcW w:w="1166" w:type="dxa"/>
            <w:textDirection w:val="tbRlV"/>
            <w:vAlign w:val="center"/>
          </w:tcPr>
          <w:p w:rsidR="007B2861" w:rsidRDefault="0061648C">
            <w:pPr>
              <w:spacing w:line="360" w:lineRule="auto"/>
              <w:ind w:left="113" w:right="113"/>
              <w:jc w:val="center"/>
              <w:rPr>
                <w:rFonts w:ascii="宋体" w:hAnsi="宋体"/>
                <w:sz w:val="24"/>
              </w:rPr>
            </w:pPr>
            <w:r>
              <w:rPr>
                <w:rFonts w:ascii="宋体" w:hAnsi="宋体" w:hint="eastAsia"/>
                <w:sz w:val="24"/>
              </w:rPr>
              <w:t>答 辩 委 员 会 意 见</w:t>
            </w:r>
          </w:p>
        </w:tc>
        <w:tc>
          <w:tcPr>
            <w:tcW w:w="8313" w:type="dxa"/>
          </w:tcPr>
          <w:p w:rsidR="007B2861" w:rsidRDefault="007B2861">
            <w:pPr>
              <w:widowControl/>
              <w:jc w:val="left"/>
              <w:rPr>
                <w:rFonts w:ascii="宋体" w:hAnsi="宋体"/>
                <w:sz w:val="24"/>
              </w:rPr>
            </w:pPr>
          </w:p>
          <w:p w:rsidR="007B2861" w:rsidRDefault="007B2861">
            <w:pPr>
              <w:widowControl/>
              <w:jc w:val="left"/>
              <w:rPr>
                <w:rFonts w:ascii="宋体" w:hAnsi="宋体"/>
                <w:sz w:val="24"/>
              </w:rPr>
            </w:pPr>
          </w:p>
          <w:p w:rsidR="007B2861" w:rsidRDefault="007B2861">
            <w:pPr>
              <w:widowControl/>
              <w:jc w:val="left"/>
              <w:rPr>
                <w:rFonts w:ascii="宋体" w:hAnsi="宋体"/>
                <w:sz w:val="24"/>
              </w:rPr>
            </w:pPr>
          </w:p>
          <w:p w:rsidR="007B2861" w:rsidRDefault="007B2861">
            <w:pPr>
              <w:widowControl/>
              <w:jc w:val="left"/>
              <w:rPr>
                <w:rFonts w:ascii="宋体" w:hAnsi="宋体"/>
                <w:sz w:val="24"/>
              </w:rPr>
            </w:pPr>
          </w:p>
          <w:p w:rsidR="007B2861" w:rsidRDefault="007B2861">
            <w:pPr>
              <w:widowControl/>
              <w:jc w:val="left"/>
              <w:rPr>
                <w:rFonts w:ascii="宋体" w:hAnsi="宋体"/>
                <w:sz w:val="24"/>
              </w:rPr>
            </w:pPr>
          </w:p>
          <w:p w:rsidR="007B2861" w:rsidRDefault="007B2861">
            <w:pPr>
              <w:widowControl/>
              <w:jc w:val="left"/>
              <w:rPr>
                <w:rFonts w:ascii="宋体" w:hAnsi="宋体"/>
                <w:sz w:val="24"/>
              </w:rPr>
            </w:pPr>
          </w:p>
          <w:p w:rsidR="007B2861" w:rsidRDefault="0061648C">
            <w:pPr>
              <w:spacing w:line="360" w:lineRule="auto"/>
              <w:rPr>
                <w:rFonts w:ascii="宋体" w:hAnsi="宋体"/>
                <w:sz w:val="24"/>
              </w:rPr>
            </w:pPr>
            <w:r>
              <w:rPr>
                <w:rFonts w:ascii="宋体" w:hAnsi="宋体" w:hint="eastAsia"/>
                <w:sz w:val="24"/>
              </w:rPr>
              <w:t xml:space="preserve">                                           负责人（签名）：</w:t>
            </w:r>
          </w:p>
          <w:p w:rsidR="007B2861" w:rsidRDefault="0061648C">
            <w:pPr>
              <w:spacing w:line="360" w:lineRule="auto"/>
              <w:rPr>
                <w:rFonts w:ascii="宋体" w:hAnsi="宋体"/>
                <w:sz w:val="24"/>
              </w:rPr>
            </w:pPr>
            <w:r>
              <w:rPr>
                <w:rFonts w:ascii="宋体" w:hAnsi="宋体" w:hint="eastAsia"/>
                <w:sz w:val="24"/>
              </w:rPr>
              <w:t xml:space="preserve">                                              年   月   日</w:t>
            </w:r>
          </w:p>
        </w:tc>
      </w:tr>
    </w:tbl>
    <w:p w:rsidR="007B2861" w:rsidRDefault="007B2861">
      <w:pPr>
        <w:ind w:right="960"/>
        <w:rPr>
          <w:rFonts w:ascii="宋体" w:hAnsi="宋体"/>
          <w:sz w:val="24"/>
        </w:rPr>
      </w:pPr>
    </w:p>
    <w:sectPr w:rsidR="007B2861">
      <w:footerReference w:type="default" r:id="rId11"/>
      <w:pgSz w:w="11850" w:h="16783"/>
      <w:pgMar w:top="1440" w:right="1247" w:bottom="1440"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5DA" w:rsidRDefault="00DB65DA">
      <w:r>
        <w:separator/>
      </w:r>
    </w:p>
  </w:endnote>
  <w:endnote w:type="continuationSeparator" w:id="0">
    <w:p w:rsidR="00DB65DA" w:rsidRDefault="00DB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新魏">
    <w:altName w:val="微软雅黑"/>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61" w:rsidRDefault="00DB65DA">
    <w:pPr>
      <w:pStyle w:val="a7"/>
      <w:jc w:val="center"/>
    </w:pPr>
    <w:sdt>
      <w:sdtPr>
        <w:id w:val="-465584929"/>
        <w:showingPlcHdr/>
      </w:sdtPr>
      <w:sdtEndPr/>
      <w:sdtContent/>
    </w:sdt>
  </w:p>
  <w:p w:rsidR="007B2861" w:rsidRDefault="007B286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61" w:rsidRDefault="0061648C">
    <w:pPr>
      <w:pStyle w:val="a7"/>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B2861" w:rsidRDefault="0061648C">
                          <w:pPr>
                            <w:pStyle w:val="a7"/>
                          </w:pPr>
                          <w:r>
                            <w:t>第</w:t>
                          </w:r>
                          <w:r>
                            <w:t xml:space="preserve"> </w:t>
                          </w:r>
                          <w:r>
                            <w:fldChar w:fldCharType="begin"/>
                          </w:r>
                          <w:r>
                            <w:instrText xml:space="preserve"> PAGE  \* MERGEFORMAT </w:instrText>
                          </w:r>
                          <w:r>
                            <w:fldChar w:fldCharType="separate"/>
                          </w:r>
                          <w:r w:rsidR="00A42178">
                            <w:rPr>
                              <w:noProof/>
                            </w:rPr>
                            <w:t>12</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7B2861" w:rsidRDefault="0061648C">
                    <w:pPr>
                      <w:pStyle w:val="a7"/>
                    </w:pPr>
                    <w:r>
                      <w:t>第</w:t>
                    </w:r>
                    <w:r>
                      <w:t xml:space="preserve"> </w:t>
                    </w:r>
                    <w:r>
                      <w:fldChar w:fldCharType="begin"/>
                    </w:r>
                    <w:r>
                      <w:instrText xml:space="preserve"> PAGE  \* MERGEFORMAT </w:instrText>
                    </w:r>
                    <w:r>
                      <w:fldChar w:fldCharType="separate"/>
                    </w:r>
                    <w:r w:rsidR="00A42178">
                      <w:rPr>
                        <w:noProof/>
                      </w:rPr>
                      <w:t>12</w:t>
                    </w:r>
                    <w:r>
                      <w:fldChar w:fldCharType="end"/>
                    </w:r>
                    <w:r>
                      <w:t xml:space="preserve"> </w:t>
                    </w:r>
                    <w:r>
                      <w:t>页</w:t>
                    </w:r>
                  </w:p>
                </w:txbxContent>
              </v:textbox>
              <w10:wrap anchorx="margin"/>
            </v:shape>
          </w:pict>
        </mc:Fallback>
      </mc:AlternateContent>
    </w:r>
    <w:sdt>
      <w:sdtPr>
        <w:id w:val="-328979135"/>
        <w:showingPlcHdr/>
      </w:sdtPr>
      <w:sdtEndPr/>
      <w:sdtContent/>
    </w:sdt>
  </w:p>
  <w:p w:rsidR="007B2861" w:rsidRDefault="007B2861">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61" w:rsidRDefault="00DB65DA">
    <w:pPr>
      <w:pStyle w:val="a7"/>
      <w:jc w:val="center"/>
    </w:pPr>
    <w:sdt>
      <w:sdtPr>
        <w:id w:val="1959978274"/>
        <w:showingPlcHdr/>
      </w:sdtPr>
      <w:sdtEndPr/>
      <w:sdtContent/>
    </w:sdt>
  </w:p>
  <w:p w:rsidR="007B2861" w:rsidRDefault="007B286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5DA" w:rsidRDefault="00DB65DA">
      <w:r>
        <w:separator/>
      </w:r>
    </w:p>
  </w:footnote>
  <w:footnote w:type="continuationSeparator" w:id="0">
    <w:p w:rsidR="00DB65DA" w:rsidRDefault="00DB6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ODU1NGMyZGMwYjcyM2NlZGU1ZGUxYmZjNTUwYmMifQ=="/>
  </w:docVars>
  <w:rsids>
    <w:rsidRoot w:val="00EE489F"/>
    <w:rsid w:val="00007ACF"/>
    <w:rsid w:val="00011FF9"/>
    <w:rsid w:val="00036D08"/>
    <w:rsid w:val="0006048E"/>
    <w:rsid w:val="000650D3"/>
    <w:rsid w:val="000926C1"/>
    <w:rsid w:val="00096CD2"/>
    <w:rsid w:val="00097F90"/>
    <w:rsid w:val="000A0DC8"/>
    <w:rsid w:val="000A0EB6"/>
    <w:rsid w:val="000A137F"/>
    <w:rsid w:val="000A4053"/>
    <w:rsid w:val="000C1D02"/>
    <w:rsid w:val="000C5044"/>
    <w:rsid w:val="000E4C41"/>
    <w:rsid w:val="000E6F2D"/>
    <w:rsid w:val="000E6F38"/>
    <w:rsid w:val="000F6BB3"/>
    <w:rsid w:val="0010221C"/>
    <w:rsid w:val="00102E0C"/>
    <w:rsid w:val="00105E98"/>
    <w:rsid w:val="001105B7"/>
    <w:rsid w:val="00137DC6"/>
    <w:rsid w:val="001445EC"/>
    <w:rsid w:val="0015610B"/>
    <w:rsid w:val="001574D4"/>
    <w:rsid w:val="001738E0"/>
    <w:rsid w:val="00182B34"/>
    <w:rsid w:val="001965A4"/>
    <w:rsid w:val="001A7F42"/>
    <w:rsid w:val="001B0D6E"/>
    <w:rsid w:val="001C0A44"/>
    <w:rsid w:val="001D04C6"/>
    <w:rsid w:val="001E3227"/>
    <w:rsid w:val="001F40A4"/>
    <w:rsid w:val="00205230"/>
    <w:rsid w:val="002113F4"/>
    <w:rsid w:val="00243871"/>
    <w:rsid w:val="002754CF"/>
    <w:rsid w:val="00292BD3"/>
    <w:rsid w:val="002C4B62"/>
    <w:rsid w:val="002E125D"/>
    <w:rsid w:val="002F0399"/>
    <w:rsid w:val="002F19E9"/>
    <w:rsid w:val="0031159D"/>
    <w:rsid w:val="00321809"/>
    <w:rsid w:val="00321C02"/>
    <w:rsid w:val="00322515"/>
    <w:rsid w:val="003256AA"/>
    <w:rsid w:val="0032605B"/>
    <w:rsid w:val="00326341"/>
    <w:rsid w:val="003334C8"/>
    <w:rsid w:val="003352B2"/>
    <w:rsid w:val="00343A11"/>
    <w:rsid w:val="00370535"/>
    <w:rsid w:val="00370F38"/>
    <w:rsid w:val="00372B55"/>
    <w:rsid w:val="003748D4"/>
    <w:rsid w:val="00374F97"/>
    <w:rsid w:val="00382126"/>
    <w:rsid w:val="00383930"/>
    <w:rsid w:val="003B7324"/>
    <w:rsid w:val="003C04F6"/>
    <w:rsid w:val="003C1A29"/>
    <w:rsid w:val="003D3D01"/>
    <w:rsid w:val="003D455A"/>
    <w:rsid w:val="003E01C7"/>
    <w:rsid w:val="003E46BA"/>
    <w:rsid w:val="003F1B44"/>
    <w:rsid w:val="00401BEB"/>
    <w:rsid w:val="004028A5"/>
    <w:rsid w:val="00414580"/>
    <w:rsid w:val="004503F5"/>
    <w:rsid w:val="004535FD"/>
    <w:rsid w:val="00485F94"/>
    <w:rsid w:val="00496920"/>
    <w:rsid w:val="00497954"/>
    <w:rsid w:val="00497C61"/>
    <w:rsid w:val="004A0761"/>
    <w:rsid w:val="004A63A8"/>
    <w:rsid w:val="004B040C"/>
    <w:rsid w:val="004B4C9F"/>
    <w:rsid w:val="004D25DD"/>
    <w:rsid w:val="004D4EA6"/>
    <w:rsid w:val="004D5C05"/>
    <w:rsid w:val="004D604C"/>
    <w:rsid w:val="004F0CD0"/>
    <w:rsid w:val="004F3CA3"/>
    <w:rsid w:val="004F4CFD"/>
    <w:rsid w:val="004F5694"/>
    <w:rsid w:val="005128F5"/>
    <w:rsid w:val="005247A5"/>
    <w:rsid w:val="00526EF3"/>
    <w:rsid w:val="00535800"/>
    <w:rsid w:val="00536AF3"/>
    <w:rsid w:val="00537175"/>
    <w:rsid w:val="00545BC7"/>
    <w:rsid w:val="0057199D"/>
    <w:rsid w:val="005742E4"/>
    <w:rsid w:val="005776D7"/>
    <w:rsid w:val="005777AA"/>
    <w:rsid w:val="00584E27"/>
    <w:rsid w:val="0059372F"/>
    <w:rsid w:val="005A2D2D"/>
    <w:rsid w:val="005A312A"/>
    <w:rsid w:val="005A40E6"/>
    <w:rsid w:val="005C4AF8"/>
    <w:rsid w:val="005E056A"/>
    <w:rsid w:val="005E4666"/>
    <w:rsid w:val="005F6CFF"/>
    <w:rsid w:val="00603F89"/>
    <w:rsid w:val="00615E2C"/>
    <w:rsid w:val="0061648C"/>
    <w:rsid w:val="00626D75"/>
    <w:rsid w:val="006330E6"/>
    <w:rsid w:val="00635C19"/>
    <w:rsid w:val="00664F52"/>
    <w:rsid w:val="00670EA5"/>
    <w:rsid w:val="00674A6D"/>
    <w:rsid w:val="00675D24"/>
    <w:rsid w:val="00684728"/>
    <w:rsid w:val="006A4DFB"/>
    <w:rsid w:val="006A62E2"/>
    <w:rsid w:val="006A773F"/>
    <w:rsid w:val="006C52BE"/>
    <w:rsid w:val="006D30AE"/>
    <w:rsid w:val="00703637"/>
    <w:rsid w:val="00707FE6"/>
    <w:rsid w:val="007137C6"/>
    <w:rsid w:val="00725926"/>
    <w:rsid w:val="007354B6"/>
    <w:rsid w:val="00764265"/>
    <w:rsid w:val="007772F8"/>
    <w:rsid w:val="00780F66"/>
    <w:rsid w:val="007B1368"/>
    <w:rsid w:val="007B2861"/>
    <w:rsid w:val="007B5B82"/>
    <w:rsid w:val="007C0F17"/>
    <w:rsid w:val="007C13F4"/>
    <w:rsid w:val="007D02BF"/>
    <w:rsid w:val="007D06D9"/>
    <w:rsid w:val="007F7778"/>
    <w:rsid w:val="00815DCE"/>
    <w:rsid w:val="008445F1"/>
    <w:rsid w:val="008533C6"/>
    <w:rsid w:val="00861307"/>
    <w:rsid w:val="00870B3E"/>
    <w:rsid w:val="008C0CA9"/>
    <w:rsid w:val="008D0248"/>
    <w:rsid w:val="008E015B"/>
    <w:rsid w:val="008E0259"/>
    <w:rsid w:val="008E429B"/>
    <w:rsid w:val="008E7910"/>
    <w:rsid w:val="00906A38"/>
    <w:rsid w:val="0091576E"/>
    <w:rsid w:val="009307C3"/>
    <w:rsid w:val="009423E5"/>
    <w:rsid w:val="00953214"/>
    <w:rsid w:val="009607C1"/>
    <w:rsid w:val="00962225"/>
    <w:rsid w:val="009673C0"/>
    <w:rsid w:val="009750C2"/>
    <w:rsid w:val="009A52F2"/>
    <w:rsid w:val="009A54F9"/>
    <w:rsid w:val="009A6DAE"/>
    <w:rsid w:val="009B46A1"/>
    <w:rsid w:val="009E22C7"/>
    <w:rsid w:val="00A07A82"/>
    <w:rsid w:val="00A20EBC"/>
    <w:rsid w:val="00A3015D"/>
    <w:rsid w:val="00A42178"/>
    <w:rsid w:val="00A42EBF"/>
    <w:rsid w:val="00A67D3C"/>
    <w:rsid w:val="00A72281"/>
    <w:rsid w:val="00A82E5D"/>
    <w:rsid w:val="00A83092"/>
    <w:rsid w:val="00A92221"/>
    <w:rsid w:val="00AA48A1"/>
    <w:rsid w:val="00AB5116"/>
    <w:rsid w:val="00AC6C16"/>
    <w:rsid w:val="00AD4AE6"/>
    <w:rsid w:val="00AE1F4B"/>
    <w:rsid w:val="00B1009F"/>
    <w:rsid w:val="00B10E27"/>
    <w:rsid w:val="00B1128F"/>
    <w:rsid w:val="00B27D34"/>
    <w:rsid w:val="00B46C58"/>
    <w:rsid w:val="00B479E3"/>
    <w:rsid w:val="00B53046"/>
    <w:rsid w:val="00B71067"/>
    <w:rsid w:val="00B71BA9"/>
    <w:rsid w:val="00B857AA"/>
    <w:rsid w:val="00B910F5"/>
    <w:rsid w:val="00B97C6F"/>
    <w:rsid w:val="00BA252E"/>
    <w:rsid w:val="00BB5BD3"/>
    <w:rsid w:val="00BB6385"/>
    <w:rsid w:val="00BC0797"/>
    <w:rsid w:val="00BC1B12"/>
    <w:rsid w:val="00BC735F"/>
    <w:rsid w:val="00BD0E97"/>
    <w:rsid w:val="00C340AC"/>
    <w:rsid w:val="00C35C15"/>
    <w:rsid w:val="00C46ECA"/>
    <w:rsid w:val="00C512FC"/>
    <w:rsid w:val="00C62B8F"/>
    <w:rsid w:val="00C768F0"/>
    <w:rsid w:val="00C776BB"/>
    <w:rsid w:val="00C77EBD"/>
    <w:rsid w:val="00C92409"/>
    <w:rsid w:val="00C97914"/>
    <w:rsid w:val="00CA37F2"/>
    <w:rsid w:val="00CA6E21"/>
    <w:rsid w:val="00CC0F03"/>
    <w:rsid w:val="00CD1E9F"/>
    <w:rsid w:val="00CD64E5"/>
    <w:rsid w:val="00CE42D0"/>
    <w:rsid w:val="00CE6E1E"/>
    <w:rsid w:val="00D017AB"/>
    <w:rsid w:val="00D06D50"/>
    <w:rsid w:val="00D1325D"/>
    <w:rsid w:val="00D1626D"/>
    <w:rsid w:val="00D26C5F"/>
    <w:rsid w:val="00D27A71"/>
    <w:rsid w:val="00D34378"/>
    <w:rsid w:val="00D35DF8"/>
    <w:rsid w:val="00D40CAE"/>
    <w:rsid w:val="00D515C2"/>
    <w:rsid w:val="00D721BA"/>
    <w:rsid w:val="00D80775"/>
    <w:rsid w:val="00DA0781"/>
    <w:rsid w:val="00DB3DFB"/>
    <w:rsid w:val="00DB65DA"/>
    <w:rsid w:val="00DC17EB"/>
    <w:rsid w:val="00DE5AF4"/>
    <w:rsid w:val="00E05EE5"/>
    <w:rsid w:val="00E21544"/>
    <w:rsid w:val="00E30B04"/>
    <w:rsid w:val="00E33E93"/>
    <w:rsid w:val="00E3408B"/>
    <w:rsid w:val="00E471B6"/>
    <w:rsid w:val="00E7368C"/>
    <w:rsid w:val="00E76522"/>
    <w:rsid w:val="00E90428"/>
    <w:rsid w:val="00E912F8"/>
    <w:rsid w:val="00E94E8E"/>
    <w:rsid w:val="00EB29E6"/>
    <w:rsid w:val="00EB4229"/>
    <w:rsid w:val="00EE46A4"/>
    <w:rsid w:val="00EE489F"/>
    <w:rsid w:val="00EE7516"/>
    <w:rsid w:val="00EF10D0"/>
    <w:rsid w:val="00EF34B6"/>
    <w:rsid w:val="00EF510D"/>
    <w:rsid w:val="00F465C3"/>
    <w:rsid w:val="00F50D06"/>
    <w:rsid w:val="00F53E8B"/>
    <w:rsid w:val="00F54268"/>
    <w:rsid w:val="00F63A77"/>
    <w:rsid w:val="00F75236"/>
    <w:rsid w:val="00F803F1"/>
    <w:rsid w:val="00F845C4"/>
    <w:rsid w:val="00F9667D"/>
    <w:rsid w:val="00FC2AD5"/>
    <w:rsid w:val="00FD3118"/>
    <w:rsid w:val="00FD50E5"/>
    <w:rsid w:val="00FE2ECA"/>
    <w:rsid w:val="00FE58C8"/>
    <w:rsid w:val="00FE784B"/>
    <w:rsid w:val="03857C1F"/>
    <w:rsid w:val="0970331D"/>
    <w:rsid w:val="0C0F3773"/>
    <w:rsid w:val="0D634840"/>
    <w:rsid w:val="0E1D3A15"/>
    <w:rsid w:val="0ECB085F"/>
    <w:rsid w:val="0F457604"/>
    <w:rsid w:val="123514C7"/>
    <w:rsid w:val="126B583E"/>
    <w:rsid w:val="12CD280D"/>
    <w:rsid w:val="1B2675B7"/>
    <w:rsid w:val="1E092055"/>
    <w:rsid w:val="1E6A2235"/>
    <w:rsid w:val="1EB91260"/>
    <w:rsid w:val="207A1611"/>
    <w:rsid w:val="22B957C9"/>
    <w:rsid w:val="28506D6A"/>
    <w:rsid w:val="29E31587"/>
    <w:rsid w:val="340518D4"/>
    <w:rsid w:val="34F95EF9"/>
    <w:rsid w:val="35497B75"/>
    <w:rsid w:val="39FE3DCB"/>
    <w:rsid w:val="402F6AEC"/>
    <w:rsid w:val="424D192C"/>
    <w:rsid w:val="42B77C84"/>
    <w:rsid w:val="49BF3859"/>
    <w:rsid w:val="4ADA763B"/>
    <w:rsid w:val="52B7553B"/>
    <w:rsid w:val="52F87A46"/>
    <w:rsid w:val="5ABC2599"/>
    <w:rsid w:val="717B6DB8"/>
    <w:rsid w:val="71E21C87"/>
    <w:rsid w:val="76FC3FBE"/>
    <w:rsid w:val="77194740"/>
    <w:rsid w:val="7EC37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footnote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0"/>
    <w:next w:val="a"/>
    <w:uiPriority w:val="9"/>
    <w:qFormat/>
    <w:pPr>
      <w:keepNext/>
      <w:spacing w:beforeLines="50" w:afterLines="50"/>
      <w:jc w:val="left"/>
    </w:pPr>
    <w:rPr>
      <w:rFonts w:ascii="Calibri" w:hAnsi="Calibri"/>
      <w:kern w:val="44"/>
      <w:sz w:val="44"/>
      <w:szCs w:val="44"/>
    </w:rPr>
  </w:style>
  <w:style w:type="paragraph" w:styleId="2">
    <w:name w:val="heading 2"/>
    <w:basedOn w:val="a"/>
    <w:next w:val="a"/>
    <w:uiPriority w:val="9"/>
    <w:qFormat/>
    <w:pPr>
      <w:keepNext/>
      <w:spacing w:beforeLines="50" w:afterLines="50"/>
      <w:jc w:val="left"/>
      <w:outlineLvl w:val="1"/>
    </w:pPr>
    <w:rPr>
      <w:rFonts w:ascii="Cambria" w:hAnsi="Cambria"/>
      <w:b/>
      <w:bCs/>
      <w:kern w:val="0"/>
      <w:sz w:val="32"/>
      <w:szCs w:val="32"/>
    </w:rPr>
  </w:style>
  <w:style w:type="paragraph" w:styleId="3">
    <w:name w:val="heading 3"/>
    <w:basedOn w:val="a"/>
    <w:next w:val="a"/>
    <w:uiPriority w:val="9"/>
    <w:qFormat/>
    <w:pPr>
      <w:keepNext/>
      <w:keepLines/>
      <w:spacing w:beforeLines="50" w:afterLines="50"/>
      <w:jc w:val="left"/>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uiPriority w:val="10"/>
    <w:qFormat/>
    <w:pPr>
      <w:jc w:val="center"/>
      <w:outlineLvl w:val="0"/>
    </w:pPr>
    <w:rPr>
      <w:rFonts w:ascii="Cambria" w:hAnsi="Cambria"/>
      <w:b/>
      <w:bCs/>
      <w:kern w:val="0"/>
      <w:sz w:val="32"/>
      <w:szCs w:val="32"/>
    </w:rPr>
  </w:style>
  <w:style w:type="paragraph" w:styleId="a4">
    <w:name w:val="Body Text Indent"/>
    <w:basedOn w:val="a"/>
    <w:link w:val="Char"/>
    <w:qFormat/>
    <w:pPr>
      <w:spacing w:line="500" w:lineRule="exact"/>
      <w:ind w:firstLineChars="200" w:firstLine="480"/>
    </w:pPr>
    <w:rPr>
      <w:sz w:val="24"/>
    </w:rPr>
  </w:style>
  <w:style w:type="paragraph" w:styleId="30">
    <w:name w:val="toc 3"/>
    <w:basedOn w:val="a"/>
    <w:next w:val="a"/>
    <w:uiPriority w:val="39"/>
    <w:unhideWhenUsed/>
    <w:qFormat/>
    <w:pPr>
      <w:ind w:leftChars="400" w:left="840"/>
    </w:pPr>
  </w:style>
  <w:style w:type="paragraph" w:styleId="a5">
    <w:name w:val="Date"/>
    <w:basedOn w:val="a"/>
    <w:next w:val="a"/>
    <w:link w:val="Char0"/>
    <w:qFormat/>
    <w:pPr>
      <w:ind w:leftChars="2500" w:left="250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892"/>
      </w:tabs>
      <w:spacing w:line="500" w:lineRule="exact"/>
      <w:ind w:firstLine="482"/>
    </w:pPr>
    <w:rPr>
      <w:rFonts w:ascii="黑体" w:eastAsia="黑体" w:hAnsi="黑体"/>
      <w:b/>
      <w:sz w:val="24"/>
    </w:rPr>
  </w:style>
  <w:style w:type="paragraph" w:styleId="20">
    <w:name w:val="toc 2"/>
    <w:basedOn w:val="a"/>
    <w:next w:val="a"/>
    <w:uiPriority w:val="39"/>
    <w:unhideWhenUsed/>
    <w:qFormat/>
    <w:pPr>
      <w:ind w:leftChars="200" w:left="420"/>
    </w:p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a">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style>
  <w:style w:type="character" w:styleId="ac">
    <w:name w:val="Hyperlink"/>
    <w:basedOn w:val="a1"/>
    <w:uiPriority w:val="99"/>
    <w:unhideWhenUsed/>
    <w:qFormat/>
    <w:rPr>
      <w:color w:val="0000FF" w:themeColor="hyperlink"/>
      <w:u w:val="single"/>
    </w:rPr>
  </w:style>
  <w:style w:type="character" w:styleId="ad">
    <w:name w:val="footnote reference"/>
    <w:basedOn w:val="a1"/>
    <w:semiHidden/>
    <w:qFormat/>
    <w:rPr>
      <w:vertAlign w:val="superscript"/>
    </w:rPr>
  </w:style>
  <w:style w:type="character" w:customStyle="1" w:styleId="Char0">
    <w:name w:val="日期 Char"/>
    <w:basedOn w:val="a1"/>
    <w:link w:val="a5"/>
    <w:qFormat/>
    <w:rPr>
      <w:rFonts w:ascii="Times New Roman" w:eastAsia="宋体" w:hAnsi="Times New Roman" w:cs="Times New Roman"/>
      <w:szCs w:val="24"/>
    </w:rPr>
  </w:style>
  <w:style w:type="character" w:customStyle="1" w:styleId="Char">
    <w:name w:val="正文文本缩进 Char"/>
    <w:basedOn w:val="a1"/>
    <w:link w:val="a4"/>
    <w:qFormat/>
    <w:rPr>
      <w:rFonts w:ascii="Times New Roman" w:eastAsia="宋体" w:hAnsi="Times New Roman" w:cs="Times New Roman"/>
      <w:sz w:val="24"/>
      <w:szCs w:val="24"/>
    </w:rPr>
  </w:style>
  <w:style w:type="character" w:customStyle="1" w:styleId="Char2">
    <w:name w:val="页脚 Char"/>
    <w:basedOn w:val="a1"/>
    <w:link w:val="a7"/>
    <w:uiPriority w:val="99"/>
    <w:qFormat/>
    <w:rPr>
      <w:rFonts w:ascii="Times New Roman" w:eastAsia="宋体" w:hAnsi="Times New Roman" w:cs="Times New Roman"/>
      <w:sz w:val="18"/>
      <w:szCs w:val="18"/>
    </w:rPr>
  </w:style>
  <w:style w:type="character" w:customStyle="1" w:styleId="Char3">
    <w:name w:val="页眉 Char"/>
    <w:basedOn w:val="a1"/>
    <w:link w:val="a8"/>
    <w:uiPriority w:val="99"/>
    <w:qFormat/>
    <w:rPr>
      <w:rFonts w:ascii="Times New Roman" w:eastAsia="宋体" w:hAnsi="Times New Roman" w:cs="Times New Roman"/>
      <w:sz w:val="18"/>
      <w:szCs w:val="18"/>
    </w:rPr>
  </w:style>
  <w:style w:type="paragraph" w:customStyle="1" w:styleId="0">
    <w:name w:val="0广金一级标题"/>
    <w:basedOn w:val="a"/>
    <w:link w:val="0Char"/>
    <w:qFormat/>
    <w:pPr>
      <w:spacing w:beforeLines="100" w:before="100" w:afterLines="100" w:after="100"/>
      <w:ind w:right="958" w:firstLineChars="200" w:firstLine="643"/>
      <w:outlineLvl w:val="0"/>
    </w:pPr>
    <w:rPr>
      <w:rFonts w:ascii="黑体" w:eastAsia="黑体" w:hAnsi="黑体"/>
      <w:b/>
      <w:sz w:val="32"/>
      <w:szCs w:val="32"/>
    </w:rPr>
  </w:style>
  <w:style w:type="paragraph" w:customStyle="1" w:styleId="00">
    <w:name w:val="0广金二级标题"/>
    <w:basedOn w:val="a"/>
    <w:link w:val="0Char0"/>
    <w:qFormat/>
    <w:pPr>
      <w:ind w:right="958" w:firstLineChars="200" w:firstLine="602"/>
      <w:outlineLvl w:val="1"/>
    </w:pPr>
    <w:rPr>
      <w:rFonts w:ascii="黑体" w:eastAsia="黑体" w:hAnsi="黑体"/>
      <w:b/>
      <w:sz w:val="30"/>
      <w:szCs w:val="30"/>
    </w:rPr>
  </w:style>
  <w:style w:type="paragraph" w:customStyle="1" w:styleId="01">
    <w:name w:val="0广金三级标题"/>
    <w:basedOn w:val="a"/>
    <w:qFormat/>
    <w:pPr>
      <w:ind w:right="958" w:firstLineChars="200" w:firstLine="562"/>
      <w:outlineLvl w:val="2"/>
    </w:pPr>
    <w:rPr>
      <w:rFonts w:ascii="黑体" w:eastAsia="黑体" w:hAnsi="黑体"/>
      <w:b/>
      <w:sz w:val="28"/>
      <w:szCs w:val="28"/>
    </w:rPr>
  </w:style>
  <w:style w:type="paragraph" w:customStyle="1" w:styleId="02">
    <w:name w:val="0广金正文"/>
    <w:basedOn w:val="a"/>
    <w:qFormat/>
    <w:pPr>
      <w:widowControl/>
      <w:spacing w:line="360" w:lineRule="auto"/>
      <w:ind w:firstLineChars="200" w:firstLine="480"/>
      <w:jc w:val="left"/>
    </w:pPr>
    <w:rPr>
      <w:rFonts w:ascii="宋体" w:hAnsi="宋体"/>
      <w:sz w:val="24"/>
    </w:rPr>
  </w:style>
  <w:style w:type="paragraph" w:customStyle="1" w:styleId="001">
    <w:name w:val="00广金参标1"/>
    <w:basedOn w:val="a"/>
    <w:qFormat/>
    <w:pPr>
      <w:widowControl/>
      <w:spacing w:beforeLines="100" w:before="312" w:afterLines="100" w:after="312"/>
      <w:jc w:val="center"/>
    </w:pPr>
    <w:rPr>
      <w:rFonts w:ascii="黑体" w:eastAsia="黑体" w:hAnsi="黑体"/>
      <w:b/>
      <w:sz w:val="32"/>
      <w:szCs w:val="32"/>
    </w:rPr>
  </w:style>
  <w:style w:type="paragraph" w:customStyle="1" w:styleId="000">
    <w:name w:val="00广金参考正文"/>
    <w:basedOn w:val="a"/>
    <w:qFormat/>
    <w:pPr>
      <w:widowControl/>
      <w:jc w:val="left"/>
    </w:pPr>
    <w:rPr>
      <w:rFonts w:ascii="宋体" w:hAnsi="宋体"/>
      <w:szCs w:val="21"/>
    </w:rPr>
  </w:style>
  <w:style w:type="character" w:customStyle="1" w:styleId="0Char0">
    <w:name w:val="0广金二级标题 Char"/>
    <w:link w:val="00"/>
    <w:qFormat/>
    <w:rPr>
      <w:rFonts w:ascii="黑体" w:eastAsia="黑体" w:hAnsi="黑体"/>
      <w:b/>
      <w:sz w:val="30"/>
      <w:szCs w:val="30"/>
    </w:rPr>
  </w:style>
  <w:style w:type="character" w:customStyle="1" w:styleId="0Char">
    <w:name w:val="0广金一级标题 Char"/>
    <w:link w:val="0"/>
    <w:qFormat/>
    <w:rPr>
      <w:rFonts w:ascii="黑体" w:eastAsia="黑体" w:hAnsi="黑体"/>
      <w:b/>
      <w:sz w:val="32"/>
      <w:szCs w:val="32"/>
    </w:rPr>
  </w:style>
  <w:style w:type="character" w:customStyle="1" w:styleId="Char1">
    <w:name w:val="批注框文本 Char"/>
    <w:basedOn w:val="a1"/>
    <w:link w:val="a6"/>
    <w:uiPriority w:val="99"/>
    <w:semiHidden/>
    <w:qFormat/>
    <w:rPr>
      <w:kern w:val="2"/>
      <w:sz w:val="18"/>
      <w:szCs w:val="18"/>
    </w:rPr>
  </w:style>
  <w:style w:type="character" w:customStyle="1" w:styleId="emsimilar">
    <w:name w:val="em_similar"/>
    <w:qFormat/>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footnote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0"/>
    <w:next w:val="a"/>
    <w:uiPriority w:val="9"/>
    <w:qFormat/>
    <w:pPr>
      <w:keepNext/>
      <w:spacing w:beforeLines="50" w:afterLines="50"/>
      <w:jc w:val="left"/>
    </w:pPr>
    <w:rPr>
      <w:rFonts w:ascii="Calibri" w:hAnsi="Calibri"/>
      <w:kern w:val="44"/>
      <w:sz w:val="44"/>
      <w:szCs w:val="44"/>
    </w:rPr>
  </w:style>
  <w:style w:type="paragraph" w:styleId="2">
    <w:name w:val="heading 2"/>
    <w:basedOn w:val="a"/>
    <w:next w:val="a"/>
    <w:uiPriority w:val="9"/>
    <w:qFormat/>
    <w:pPr>
      <w:keepNext/>
      <w:spacing w:beforeLines="50" w:afterLines="50"/>
      <w:jc w:val="left"/>
      <w:outlineLvl w:val="1"/>
    </w:pPr>
    <w:rPr>
      <w:rFonts w:ascii="Cambria" w:hAnsi="Cambria"/>
      <w:b/>
      <w:bCs/>
      <w:kern w:val="0"/>
      <w:sz w:val="32"/>
      <w:szCs w:val="32"/>
    </w:rPr>
  </w:style>
  <w:style w:type="paragraph" w:styleId="3">
    <w:name w:val="heading 3"/>
    <w:basedOn w:val="a"/>
    <w:next w:val="a"/>
    <w:uiPriority w:val="9"/>
    <w:qFormat/>
    <w:pPr>
      <w:keepNext/>
      <w:keepLines/>
      <w:spacing w:beforeLines="50" w:afterLines="50"/>
      <w:jc w:val="left"/>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uiPriority w:val="10"/>
    <w:qFormat/>
    <w:pPr>
      <w:jc w:val="center"/>
      <w:outlineLvl w:val="0"/>
    </w:pPr>
    <w:rPr>
      <w:rFonts w:ascii="Cambria" w:hAnsi="Cambria"/>
      <w:b/>
      <w:bCs/>
      <w:kern w:val="0"/>
      <w:sz w:val="32"/>
      <w:szCs w:val="32"/>
    </w:rPr>
  </w:style>
  <w:style w:type="paragraph" w:styleId="a4">
    <w:name w:val="Body Text Indent"/>
    <w:basedOn w:val="a"/>
    <w:link w:val="Char"/>
    <w:qFormat/>
    <w:pPr>
      <w:spacing w:line="500" w:lineRule="exact"/>
      <w:ind w:firstLineChars="200" w:firstLine="480"/>
    </w:pPr>
    <w:rPr>
      <w:sz w:val="24"/>
    </w:rPr>
  </w:style>
  <w:style w:type="paragraph" w:styleId="30">
    <w:name w:val="toc 3"/>
    <w:basedOn w:val="a"/>
    <w:next w:val="a"/>
    <w:uiPriority w:val="39"/>
    <w:unhideWhenUsed/>
    <w:qFormat/>
    <w:pPr>
      <w:ind w:leftChars="400" w:left="840"/>
    </w:pPr>
  </w:style>
  <w:style w:type="paragraph" w:styleId="a5">
    <w:name w:val="Date"/>
    <w:basedOn w:val="a"/>
    <w:next w:val="a"/>
    <w:link w:val="Char0"/>
    <w:qFormat/>
    <w:pPr>
      <w:ind w:leftChars="2500" w:left="250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892"/>
      </w:tabs>
      <w:spacing w:line="500" w:lineRule="exact"/>
      <w:ind w:firstLine="482"/>
    </w:pPr>
    <w:rPr>
      <w:rFonts w:ascii="黑体" w:eastAsia="黑体" w:hAnsi="黑体"/>
      <w:b/>
      <w:sz w:val="24"/>
    </w:rPr>
  </w:style>
  <w:style w:type="paragraph" w:styleId="20">
    <w:name w:val="toc 2"/>
    <w:basedOn w:val="a"/>
    <w:next w:val="a"/>
    <w:uiPriority w:val="39"/>
    <w:unhideWhenUsed/>
    <w:qFormat/>
    <w:pPr>
      <w:ind w:leftChars="200" w:left="420"/>
    </w:p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a">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style>
  <w:style w:type="character" w:styleId="ac">
    <w:name w:val="Hyperlink"/>
    <w:basedOn w:val="a1"/>
    <w:uiPriority w:val="99"/>
    <w:unhideWhenUsed/>
    <w:qFormat/>
    <w:rPr>
      <w:color w:val="0000FF" w:themeColor="hyperlink"/>
      <w:u w:val="single"/>
    </w:rPr>
  </w:style>
  <w:style w:type="character" w:styleId="ad">
    <w:name w:val="footnote reference"/>
    <w:basedOn w:val="a1"/>
    <w:semiHidden/>
    <w:qFormat/>
    <w:rPr>
      <w:vertAlign w:val="superscript"/>
    </w:rPr>
  </w:style>
  <w:style w:type="character" w:customStyle="1" w:styleId="Char0">
    <w:name w:val="日期 Char"/>
    <w:basedOn w:val="a1"/>
    <w:link w:val="a5"/>
    <w:qFormat/>
    <w:rPr>
      <w:rFonts w:ascii="Times New Roman" w:eastAsia="宋体" w:hAnsi="Times New Roman" w:cs="Times New Roman"/>
      <w:szCs w:val="24"/>
    </w:rPr>
  </w:style>
  <w:style w:type="character" w:customStyle="1" w:styleId="Char">
    <w:name w:val="正文文本缩进 Char"/>
    <w:basedOn w:val="a1"/>
    <w:link w:val="a4"/>
    <w:qFormat/>
    <w:rPr>
      <w:rFonts w:ascii="Times New Roman" w:eastAsia="宋体" w:hAnsi="Times New Roman" w:cs="Times New Roman"/>
      <w:sz w:val="24"/>
      <w:szCs w:val="24"/>
    </w:rPr>
  </w:style>
  <w:style w:type="character" w:customStyle="1" w:styleId="Char2">
    <w:name w:val="页脚 Char"/>
    <w:basedOn w:val="a1"/>
    <w:link w:val="a7"/>
    <w:uiPriority w:val="99"/>
    <w:qFormat/>
    <w:rPr>
      <w:rFonts w:ascii="Times New Roman" w:eastAsia="宋体" w:hAnsi="Times New Roman" w:cs="Times New Roman"/>
      <w:sz w:val="18"/>
      <w:szCs w:val="18"/>
    </w:rPr>
  </w:style>
  <w:style w:type="character" w:customStyle="1" w:styleId="Char3">
    <w:name w:val="页眉 Char"/>
    <w:basedOn w:val="a1"/>
    <w:link w:val="a8"/>
    <w:uiPriority w:val="99"/>
    <w:qFormat/>
    <w:rPr>
      <w:rFonts w:ascii="Times New Roman" w:eastAsia="宋体" w:hAnsi="Times New Roman" w:cs="Times New Roman"/>
      <w:sz w:val="18"/>
      <w:szCs w:val="18"/>
    </w:rPr>
  </w:style>
  <w:style w:type="paragraph" w:customStyle="1" w:styleId="0">
    <w:name w:val="0广金一级标题"/>
    <w:basedOn w:val="a"/>
    <w:link w:val="0Char"/>
    <w:qFormat/>
    <w:pPr>
      <w:spacing w:beforeLines="100" w:before="100" w:afterLines="100" w:after="100"/>
      <w:ind w:right="958" w:firstLineChars="200" w:firstLine="643"/>
      <w:outlineLvl w:val="0"/>
    </w:pPr>
    <w:rPr>
      <w:rFonts w:ascii="黑体" w:eastAsia="黑体" w:hAnsi="黑体"/>
      <w:b/>
      <w:sz w:val="32"/>
      <w:szCs w:val="32"/>
    </w:rPr>
  </w:style>
  <w:style w:type="paragraph" w:customStyle="1" w:styleId="00">
    <w:name w:val="0广金二级标题"/>
    <w:basedOn w:val="a"/>
    <w:link w:val="0Char0"/>
    <w:qFormat/>
    <w:pPr>
      <w:ind w:right="958" w:firstLineChars="200" w:firstLine="602"/>
      <w:outlineLvl w:val="1"/>
    </w:pPr>
    <w:rPr>
      <w:rFonts w:ascii="黑体" w:eastAsia="黑体" w:hAnsi="黑体"/>
      <w:b/>
      <w:sz w:val="30"/>
      <w:szCs w:val="30"/>
    </w:rPr>
  </w:style>
  <w:style w:type="paragraph" w:customStyle="1" w:styleId="01">
    <w:name w:val="0广金三级标题"/>
    <w:basedOn w:val="a"/>
    <w:qFormat/>
    <w:pPr>
      <w:ind w:right="958" w:firstLineChars="200" w:firstLine="562"/>
      <w:outlineLvl w:val="2"/>
    </w:pPr>
    <w:rPr>
      <w:rFonts w:ascii="黑体" w:eastAsia="黑体" w:hAnsi="黑体"/>
      <w:b/>
      <w:sz w:val="28"/>
      <w:szCs w:val="28"/>
    </w:rPr>
  </w:style>
  <w:style w:type="paragraph" w:customStyle="1" w:styleId="02">
    <w:name w:val="0广金正文"/>
    <w:basedOn w:val="a"/>
    <w:qFormat/>
    <w:pPr>
      <w:widowControl/>
      <w:spacing w:line="360" w:lineRule="auto"/>
      <w:ind w:firstLineChars="200" w:firstLine="480"/>
      <w:jc w:val="left"/>
    </w:pPr>
    <w:rPr>
      <w:rFonts w:ascii="宋体" w:hAnsi="宋体"/>
      <w:sz w:val="24"/>
    </w:rPr>
  </w:style>
  <w:style w:type="paragraph" w:customStyle="1" w:styleId="001">
    <w:name w:val="00广金参标1"/>
    <w:basedOn w:val="a"/>
    <w:qFormat/>
    <w:pPr>
      <w:widowControl/>
      <w:spacing w:beforeLines="100" w:before="312" w:afterLines="100" w:after="312"/>
      <w:jc w:val="center"/>
    </w:pPr>
    <w:rPr>
      <w:rFonts w:ascii="黑体" w:eastAsia="黑体" w:hAnsi="黑体"/>
      <w:b/>
      <w:sz w:val="32"/>
      <w:szCs w:val="32"/>
    </w:rPr>
  </w:style>
  <w:style w:type="paragraph" w:customStyle="1" w:styleId="000">
    <w:name w:val="00广金参考正文"/>
    <w:basedOn w:val="a"/>
    <w:qFormat/>
    <w:pPr>
      <w:widowControl/>
      <w:jc w:val="left"/>
    </w:pPr>
    <w:rPr>
      <w:rFonts w:ascii="宋体" w:hAnsi="宋体"/>
      <w:szCs w:val="21"/>
    </w:rPr>
  </w:style>
  <w:style w:type="character" w:customStyle="1" w:styleId="0Char0">
    <w:name w:val="0广金二级标题 Char"/>
    <w:link w:val="00"/>
    <w:qFormat/>
    <w:rPr>
      <w:rFonts w:ascii="黑体" w:eastAsia="黑体" w:hAnsi="黑体"/>
      <w:b/>
      <w:sz w:val="30"/>
      <w:szCs w:val="30"/>
    </w:rPr>
  </w:style>
  <w:style w:type="character" w:customStyle="1" w:styleId="0Char">
    <w:name w:val="0广金一级标题 Char"/>
    <w:link w:val="0"/>
    <w:qFormat/>
    <w:rPr>
      <w:rFonts w:ascii="黑体" w:eastAsia="黑体" w:hAnsi="黑体"/>
      <w:b/>
      <w:sz w:val="32"/>
      <w:szCs w:val="32"/>
    </w:rPr>
  </w:style>
  <w:style w:type="character" w:customStyle="1" w:styleId="Char1">
    <w:name w:val="批注框文本 Char"/>
    <w:basedOn w:val="a1"/>
    <w:link w:val="a6"/>
    <w:uiPriority w:val="99"/>
    <w:semiHidden/>
    <w:qFormat/>
    <w:rPr>
      <w:kern w:val="2"/>
      <w:sz w:val="18"/>
      <w:szCs w:val="18"/>
    </w:rPr>
  </w:style>
  <w:style w:type="character" w:customStyle="1" w:styleId="emsimilar">
    <w:name w:val="em_similar"/>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6C0DAC-988E-49A8-9487-4D6D3CC7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1686</Words>
  <Characters>9611</Characters>
  <Application>Microsoft Office Word</Application>
  <DocSecurity>0</DocSecurity>
  <Lines>80</Lines>
  <Paragraphs>22</Paragraphs>
  <ScaleCrop>false</ScaleCrop>
  <Company>微软中国</Company>
  <LinksUpToDate>false</LinksUpToDate>
  <CharactersWithSpaces>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cp:revision>
  <dcterms:created xsi:type="dcterms:W3CDTF">2022-08-07T12:28:00Z</dcterms:created>
  <dcterms:modified xsi:type="dcterms:W3CDTF">2022-08-11T03:19:00Z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62B9EDAA8BF44A8CBF0118EE69F333D0</vt:lpwstr>
  </property>
</Properties>
</file>