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72"/>
          <w:szCs w:val="72"/>
        </w:rPr>
      </w:pPr>
      <w:r>
        <w:rPr>
          <w:rFonts w:hint="eastAsia"/>
          <w:b/>
          <w:sz w:val="72"/>
          <w:szCs w:val="72"/>
        </w:rPr>
        <w:t>广东医科大学</w:t>
      </w:r>
    </w:p>
    <w:p>
      <w:pPr>
        <w:jc w:val="center"/>
        <w:outlineLvl w:val="0"/>
        <w:rPr>
          <w:rFonts w:hint="eastAsia"/>
          <w:b/>
          <w:sz w:val="72"/>
          <w:szCs w:val="72"/>
        </w:rPr>
      </w:pPr>
      <w:bookmarkStart w:id="0" w:name="_Toc3921"/>
      <w:r>
        <w:rPr>
          <w:rFonts w:hint="eastAsia"/>
          <w:b/>
          <w:sz w:val="72"/>
          <w:szCs w:val="72"/>
        </w:rPr>
        <w:t>成人高等教育毕业论文</w:t>
      </w:r>
      <w:bookmarkEnd w:id="0"/>
    </w:p>
    <w:p>
      <w:pPr>
        <w:jc w:val="center"/>
        <w:rPr>
          <w:b/>
          <w:sz w:val="52"/>
          <w:szCs w:val="52"/>
        </w:rPr>
      </w:pPr>
    </w:p>
    <w:p>
      <w:pPr>
        <w:jc w:val="center"/>
        <w:rPr>
          <w:rFonts w:hint="eastAsia"/>
          <w:b/>
          <w:sz w:val="44"/>
          <w:szCs w:val="44"/>
        </w:rPr>
      </w:pPr>
      <w:r>
        <w:rPr>
          <w:rFonts w:hint="eastAsia"/>
          <w:b/>
          <w:sz w:val="44"/>
          <w:szCs w:val="44"/>
        </w:rPr>
        <w:drawing>
          <wp:inline distT="0" distB="0" distL="114300" distR="114300">
            <wp:extent cx="1928495" cy="1928495"/>
            <wp:effectExtent l="0" t="0" r="14605" b="14605"/>
            <wp:docPr id="3" name="图片 1" descr="广东医科大学成教新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广东医科大学成教新标志"/>
                    <pic:cNvPicPr>
                      <a:picLocks noChangeAspect="1"/>
                    </pic:cNvPicPr>
                  </pic:nvPicPr>
                  <pic:blipFill>
                    <a:blip r:embed="rId5"/>
                    <a:stretch>
                      <a:fillRect/>
                    </a:stretch>
                  </pic:blipFill>
                  <pic:spPr>
                    <a:xfrm>
                      <a:off x="0" y="0"/>
                      <a:ext cx="1928495" cy="1928495"/>
                    </a:xfrm>
                    <a:prstGeom prst="rect">
                      <a:avLst/>
                    </a:prstGeom>
                    <a:noFill/>
                    <a:ln>
                      <a:noFill/>
                    </a:ln>
                  </pic:spPr>
                </pic:pic>
              </a:graphicData>
            </a:graphic>
          </wp:inline>
        </w:drawing>
      </w:r>
    </w:p>
    <w:p>
      <w:pPr>
        <w:jc w:val="center"/>
        <w:rPr>
          <w:rFonts w:hint="eastAsia"/>
          <w:b/>
          <w:sz w:val="44"/>
          <w:szCs w:val="44"/>
        </w:rPr>
      </w:pPr>
    </w:p>
    <w:p>
      <w:pPr>
        <w:ind w:firstLine="1966" w:firstLineChars="445"/>
        <w:rPr>
          <w:b/>
          <w:sz w:val="44"/>
          <w:szCs w:val="44"/>
          <w:u w:val="thick"/>
        </w:rPr>
      </w:pPr>
      <w:r>
        <w:rPr>
          <w:rFonts w:hint="eastAsia"/>
          <w:b/>
          <w:sz w:val="44"/>
          <w:szCs w:val="44"/>
        </w:rPr>
        <w:t>姓名</w:t>
      </w:r>
      <w:r>
        <w:rPr>
          <w:b/>
          <w:sz w:val="44"/>
          <w:szCs w:val="44"/>
          <w:u w:val="thick"/>
        </w:rPr>
        <w:t xml:space="preserve">             </w:t>
      </w:r>
    </w:p>
    <w:p>
      <w:pPr>
        <w:rPr>
          <w:b/>
          <w:sz w:val="44"/>
          <w:szCs w:val="44"/>
        </w:rPr>
      </w:pPr>
    </w:p>
    <w:p>
      <w:pPr>
        <w:ind w:firstLine="1966" w:firstLineChars="445"/>
        <w:rPr>
          <w:b/>
          <w:sz w:val="44"/>
          <w:szCs w:val="44"/>
        </w:rPr>
      </w:pPr>
      <w:r>
        <w:rPr>
          <w:rFonts w:hint="eastAsia"/>
          <w:b/>
          <w:sz w:val="44"/>
          <w:szCs w:val="44"/>
        </w:rPr>
        <w:t>学号</w:t>
      </w:r>
      <w:r>
        <w:rPr>
          <w:b/>
          <w:sz w:val="44"/>
          <w:szCs w:val="44"/>
          <w:u w:val="thick"/>
        </w:rPr>
        <w:t xml:space="preserve">             </w:t>
      </w:r>
      <w:r>
        <w:rPr>
          <w:b/>
          <w:sz w:val="44"/>
          <w:szCs w:val="44"/>
        </w:rPr>
        <w:t xml:space="preserve">  </w:t>
      </w:r>
    </w:p>
    <w:p>
      <w:pPr>
        <w:rPr>
          <w:b/>
          <w:sz w:val="44"/>
          <w:szCs w:val="44"/>
        </w:rPr>
      </w:pPr>
    </w:p>
    <w:p>
      <w:pPr>
        <w:ind w:firstLine="1966" w:firstLineChars="445"/>
        <w:rPr>
          <w:b/>
          <w:sz w:val="44"/>
          <w:szCs w:val="44"/>
          <w:u w:val="thick"/>
        </w:rPr>
      </w:pPr>
      <w:r>
        <w:rPr>
          <w:rFonts w:hint="eastAsia"/>
          <w:b/>
          <w:sz w:val="44"/>
          <w:szCs w:val="44"/>
        </w:rPr>
        <w:t>年级</w:t>
      </w:r>
      <w:r>
        <w:rPr>
          <w:b/>
          <w:sz w:val="44"/>
          <w:szCs w:val="44"/>
          <w:u w:val="thick"/>
        </w:rPr>
        <w:t xml:space="preserve">             </w:t>
      </w:r>
    </w:p>
    <w:p>
      <w:pPr>
        <w:rPr>
          <w:b/>
          <w:sz w:val="44"/>
          <w:szCs w:val="44"/>
        </w:rPr>
      </w:pPr>
    </w:p>
    <w:p>
      <w:pPr>
        <w:ind w:firstLine="1966" w:firstLineChars="445"/>
        <w:rPr>
          <w:b/>
          <w:sz w:val="44"/>
          <w:szCs w:val="44"/>
          <w:u w:val="thick"/>
        </w:rPr>
      </w:pPr>
      <w:r>
        <w:rPr>
          <w:rFonts w:hint="eastAsia"/>
          <w:b/>
          <w:sz w:val="44"/>
          <w:szCs w:val="44"/>
        </w:rPr>
        <w:t>专业</w:t>
      </w:r>
      <w:r>
        <w:rPr>
          <w:b/>
          <w:sz w:val="44"/>
          <w:szCs w:val="44"/>
          <w:u w:val="thick"/>
        </w:rPr>
        <w:t xml:space="preserve">             </w:t>
      </w:r>
    </w:p>
    <w:p>
      <w:pPr>
        <w:rPr>
          <w:b/>
          <w:sz w:val="44"/>
          <w:szCs w:val="44"/>
        </w:rPr>
      </w:pPr>
    </w:p>
    <w:p>
      <w:pPr>
        <w:ind w:firstLine="1966" w:firstLineChars="445"/>
        <w:rPr>
          <w:b/>
          <w:sz w:val="44"/>
          <w:szCs w:val="44"/>
          <w:u w:val="thick"/>
        </w:rPr>
      </w:pPr>
      <w:r>
        <w:rPr>
          <w:rFonts w:hint="eastAsia"/>
          <w:b/>
          <w:sz w:val="44"/>
          <w:szCs w:val="44"/>
        </w:rPr>
        <w:t>层次</w:t>
      </w:r>
      <w:r>
        <w:rPr>
          <w:b/>
          <w:sz w:val="44"/>
          <w:szCs w:val="44"/>
          <w:u w:val="thick"/>
        </w:rPr>
        <w:t xml:space="preserve">             </w:t>
      </w:r>
    </w:p>
    <w:p>
      <w:pPr>
        <w:rPr>
          <w:rFonts w:hint="eastAsia"/>
          <w:b/>
          <w:sz w:val="44"/>
          <w:szCs w:val="44"/>
        </w:rPr>
      </w:pPr>
    </w:p>
    <w:p>
      <w:pPr>
        <w:bidi w:val="0"/>
        <w:rPr>
          <w:rFonts w:hint="eastAsia"/>
        </w:rPr>
      </w:pPr>
    </w:p>
    <w:p>
      <w:pPr>
        <w:jc w:val="center"/>
        <w:outlineLvl w:val="0"/>
        <w:rPr>
          <w:rFonts w:hint="eastAsia"/>
          <w:b/>
          <w:sz w:val="44"/>
          <w:szCs w:val="44"/>
        </w:rPr>
      </w:pPr>
      <w:bookmarkStart w:id="1" w:name="_Toc32304"/>
      <w:r>
        <w:rPr>
          <w:rFonts w:hint="eastAsia"/>
          <w:b/>
          <w:sz w:val="44"/>
          <w:szCs w:val="44"/>
        </w:rPr>
        <w:t>广东医科大学继续教育学院</w:t>
      </w:r>
      <w:bookmarkEnd w:id="1"/>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eastAsia" w:ascii="宋体" w:hAnsi="宋体" w:eastAsia="宋体" w:cs="宋体"/>
          <w:b/>
          <w:bCs/>
          <w:sz w:val="32"/>
          <w:szCs w:val="32"/>
          <w:lang w:val="en-US" w:eastAsia="zh-CN"/>
        </w:rPr>
      </w:pPr>
      <w:bookmarkStart w:id="17" w:name="_GoBack"/>
      <w:bookmarkStart w:id="2" w:name="_Toc24868"/>
      <w:r>
        <w:rPr>
          <w:rFonts w:hint="eastAsia" w:ascii="宋体" w:hAnsi="宋体" w:eastAsia="宋体" w:cs="宋体"/>
          <w:b/>
          <w:bCs/>
          <w:sz w:val="32"/>
          <w:szCs w:val="32"/>
        </w:rPr>
        <w:t>浅析抗生素的不良反应及合理用药</w:t>
      </w:r>
      <w:bookmarkEnd w:id="17"/>
      <w:bookmarkEnd w:id="2"/>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姓名：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单位：</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宋体" w:hAnsi="宋体" w:eastAsia="宋体" w:cs="宋体"/>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560" w:firstLineChars="200"/>
        <w:jc w:val="both"/>
        <w:textAlignment w:val="auto"/>
        <w:rPr>
          <w:rFonts w:hint="eastAsia" w:ascii="宋体" w:hAnsi="宋体" w:eastAsia="宋体" w:cs="宋体"/>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240" w:lineRule="auto"/>
        <w:ind w:left="567" w:right="567"/>
        <w:jc w:val="both"/>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摘要：</w:t>
      </w:r>
      <w:r>
        <w:rPr>
          <w:rFonts w:hint="eastAsia" w:ascii="宋体" w:hAnsi="宋体" w:eastAsia="宋体" w:cs="宋体"/>
          <w:b w:val="0"/>
          <w:bCs w:val="0"/>
          <w:kern w:val="2"/>
          <w:sz w:val="21"/>
          <w:szCs w:val="21"/>
          <w:lang w:val="en-US" w:eastAsia="zh-CN" w:bidi="ar-SA"/>
        </w:rPr>
        <w:t>每年都有许多患者因药物不良反应而住院。危及生命的反应包括心律失常、肝毒性、急性肾功能衰竭和抗逆转录病毒治疗引起的乳酸酸中毒。此外， 在二十世纪下半叶，6%至7%的住院患者经历了严重的药物不良反应。大约5%的住院患者的严重反应是致命的，超过70%的ICU患者接受抗生素治疗或预防，其中大部分是经验性的，超过一半的患者接受多种药物。药物不良反应的临床表现可能非常不同的ICU 病人比更健康的人因为ICU病人的疾病的严重程度，通常需要病人严重镇静和瘫痪，和他或她经常需要的多种疗法。因此本文针对</w:t>
      </w:r>
      <w:r>
        <w:rPr>
          <w:rFonts w:hint="eastAsia" w:ascii="宋体" w:hAnsi="宋体" w:eastAsia="宋体" w:cs="宋体"/>
          <w:b w:val="0"/>
          <w:bCs w:val="0"/>
          <w:kern w:val="2"/>
          <w:sz w:val="21"/>
          <w:szCs w:val="21"/>
          <w:lang w:val="en-US" w:bidi="ar-SA"/>
        </w:rPr>
        <w:t>生素的不良反应及合理用药</w:t>
      </w:r>
      <w:r>
        <w:rPr>
          <w:rFonts w:hint="eastAsia" w:ascii="宋体" w:hAnsi="宋体" w:eastAsia="宋体" w:cs="宋体"/>
          <w:b w:val="0"/>
          <w:bCs w:val="0"/>
          <w:kern w:val="2"/>
          <w:sz w:val="21"/>
          <w:szCs w:val="21"/>
          <w:lang w:val="en-US" w:eastAsia="zh-CN" w:bidi="ar-SA"/>
        </w:rPr>
        <w:t>进行研究，以期规范抗生素用药现状。</w:t>
      </w:r>
    </w:p>
    <w:p>
      <w:pPr>
        <w:keepNext w:val="0"/>
        <w:keepLines w:val="0"/>
        <w:pageBreakBefore w:val="0"/>
        <w:widowControl w:val="0"/>
        <w:kinsoku/>
        <w:wordWrap/>
        <w:overflowPunct/>
        <w:topLinePunct w:val="0"/>
        <w:autoSpaceDE/>
        <w:autoSpaceDN/>
        <w:bidi w:val="0"/>
        <w:adjustRightInd/>
        <w:snapToGrid/>
        <w:spacing w:before="0" w:after="0" w:line="240" w:lineRule="auto"/>
        <w:ind w:left="567" w:right="567"/>
        <w:jc w:val="both"/>
        <w:textAlignment w:val="auto"/>
        <w:outlineLvl w:val="9"/>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关键词：</w:t>
      </w:r>
      <w:r>
        <w:rPr>
          <w:rFonts w:hint="eastAsia" w:ascii="宋体" w:hAnsi="宋体" w:eastAsia="宋体" w:cs="宋体"/>
          <w:b w:val="0"/>
          <w:bCs w:val="0"/>
          <w:kern w:val="2"/>
          <w:sz w:val="21"/>
          <w:szCs w:val="21"/>
          <w:lang w:val="en-US" w:eastAsia="zh-CN" w:bidi="ar-SA"/>
        </w:rPr>
        <w:t>药物不良反应；合理用药；抗生素</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551" w:firstLineChars="196"/>
        <w:jc w:val="both"/>
        <w:textAlignment w:val="auto"/>
        <w:outlineLvl w:val="9"/>
        <w:rPr>
          <w:rFonts w:hint="eastAsia" w:ascii="宋体" w:hAnsi="宋体" w:eastAsia="宋体" w:cs="宋体"/>
          <w:b/>
          <w:bCs/>
          <w:kern w:val="2"/>
          <w:sz w:val="28"/>
          <w:szCs w:val="28"/>
          <w:lang w:val="en-US" w:eastAsia="zh-CN" w:bidi="ar-SA"/>
        </w:rPr>
        <w:sectPr>
          <w:pgSz w:w="11906" w:h="16838"/>
          <w:pgMar w:top="1474" w:right="1587" w:bottom="1587" w:left="1474" w:header="851" w:footer="992" w:gutter="0"/>
          <w:cols w:space="0" w:num="1"/>
          <w:rtlGutter w:val="0"/>
          <w:docGrid w:type="lines" w:linePitch="312" w:charSpace="0"/>
        </w:sectPr>
      </w:pPr>
    </w:p>
    <w:sdt>
      <w:sdtPr>
        <w:rPr>
          <w:rFonts w:hint="eastAsia" w:ascii="宋体" w:hAnsi="宋体" w:eastAsia="宋体" w:cs="宋体"/>
          <w:b/>
          <w:bCs/>
          <w:kern w:val="2"/>
          <w:sz w:val="28"/>
          <w:szCs w:val="28"/>
          <w:lang w:val="zh-CN" w:eastAsia="zh-CN" w:bidi="ar-SA"/>
        </w:rPr>
        <w:id w:val="147463804"/>
        <w15:color w:val="DBDBDB"/>
        <w:docPartObj>
          <w:docPartGallery w:val="Table of Contents"/>
          <w:docPartUnique/>
        </w:docPartObj>
      </w:sdtPr>
      <w:sdtEndPr>
        <w:rPr>
          <w:rFonts w:hint="eastAsia" w:ascii="宋体" w:hAnsi="宋体" w:eastAsia="宋体" w:cs="宋体"/>
          <w:b/>
          <w:bCs/>
          <w:kern w:val="2"/>
          <w:sz w:val="28"/>
          <w:szCs w:val="28"/>
          <w:lang w:val="zh-CN" w:eastAsia="zh-CN" w:bidi="ar-SA"/>
        </w:rPr>
      </w:sdtEndPr>
      <w:sdtContent>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目录</w:t>
          </w:r>
        </w:p>
        <w:p>
          <w:pPr>
            <w:pStyle w:val="7"/>
            <w:tabs>
              <w:tab w:val="right" w:leader="dot" w:pos="8845"/>
            </w:tabs>
          </w:pPr>
          <w:r>
            <w:fldChar w:fldCharType="begin"/>
          </w:r>
          <w:r>
            <w:instrText xml:space="preserve">TOC \o "1-3" \h \u </w:instrText>
          </w:r>
          <w:r>
            <w:fldChar w:fldCharType="separate"/>
          </w:r>
        </w:p>
        <w:p>
          <w:pPr>
            <w:pStyle w:val="7"/>
            <w:keepNext w:val="0"/>
            <w:keepLines w:val="0"/>
            <w:pageBreakBefore w:val="0"/>
            <w:widowControl/>
            <w:tabs>
              <w:tab w:val="right" w:leader="dot" w:pos="8845"/>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_Toc20357 </w:instrText>
          </w:r>
          <w:r>
            <w:rPr>
              <w:rFonts w:hint="eastAsia" w:ascii="宋体" w:hAnsi="宋体" w:eastAsia="宋体" w:cs="宋体"/>
              <w:sz w:val="24"/>
              <w:szCs w:val="24"/>
            </w:rPr>
            <w:fldChar w:fldCharType="separate"/>
          </w:r>
          <w:r>
            <w:rPr>
              <w:rFonts w:hint="eastAsia" w:ascii="宋体" w:hAnsi="宋体" w:eastAsia="宋体" w:cs="宋体"/>
              <w:bCs/>
              <w:kern w:val="2"/>
              <w:sz w:val="24"/>
              <w:szCs w:val="24"/>
              <w:lang w:val="en-US" w:eastAsia="zh-CN" w:bidi="ar-SA"/>
            </w:rPr>
            <w:t>一、抗生素不良反应分析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_Toc20357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tabs>
              <w:tab w:val="right" w:leader="dot" w:pos="8845"/>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_Toc3288 </w:instrText>
          </w:r>
          <w:r>
            <w:rPr>
              <w:rFonts w:hint="eastAsia" w:ascii="宋体" w:hAnsi="宋体" w:eastAsia="宋体" w:cs="宋体"/>
              <w:sz w:val="24"/>
              <w:szCs w:val="24"/>
            </w:rPr>
            <w:fldChar w:fldCharType="separate"/>
          </w:r>
          <w:r>
            <w:rPr>
              <w:rFonts w:hint="eastAsia" w:ascii="宋体" w:hAnsi="宋体" w:eastAsia="宋体" w:cs="宋体"/>
              <w:bCs/>
              <w:kern w:val="2"/>
              <w:sz w:val="24"/>
              <w:szCs w:val="24"/>
              <w:lang w:val="en-US" w:eastAsia="zh-CN" w:bidi="ar-SA"/>
            </w:rPr>
            <w:t>二、抗生素不良反应具体类型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_Toc3288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tabs>
              <w:tab w:val="right" w:leader="dot" w:pos="8845"/>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_Toc4330 </w:instrText>
          </w:r>
          <w:r>
            <w:rPr>
              <w:rFonts w:hint="eastAsia" w:ascii="宋体" w:hAnsi="宋体" w:eastAsia="宋体" w:cs="宋体"/>
              <w:sz w:val="24"/>
              <w:szCs w:val="24"/>
            </w:rPr>
            <w:fldChar w:fldCharType="separate"/>
          </w:r>
          <w:r>
            <w:rPr>
              <w:rFonts w:hint="eastAsia" w:ascii="宋体" w:hAnsi="宋体" w:eastAsia="宋体" w:cs="宋体"/>
              <w:bCs/>
              <w:kern w:val="2"/>
              <w:sz w:val="24"/>
              <w:szCs w:val="24"/>
              <w:lang w:val="en-US" w:eastAsia="zh-CN" w:bidi="ar-SA"/>
            </w:rPr>
            <w:t>（一）过敏反应</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_Toc4330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tabs>
              <w:tab w:val="right" w:leader="dot" w:pos="8845"/>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_Toc4160 </w:instrText>
          </w:r>
          <w:r>
            <w:rPr>
              <w:rFonts w:hint="eastAsia" w:ascii="宋体" w:hAnsi="宋体" w:eastAsia="宋体" w:cs="宋体"/>
              <w:sz w:val="24"/>
              <w:szCs w:val="24"/>
            </w:rPr>
            <w:fldChar w:fldCharType="separate"/>
          </w:r>
          <w:r>
            <w:rPr>
              <w:rFonts w:hint="eastAsia" w:ascii="宋体" w:hAnsi="宋体" w:eastAsia="宋体" w:cs="宋体"/>
              <w:bCs/>
              <w:kern w:val="2"/>
              <w:sz w:val="24"/>
              <w:szCs w:val="24"/>
              <w:lang w:val="en-US" w:eastAsia="zh-CN" w:bidi="ar-SA"/>
            </w:rPr>
            <w:t>（二）心脏毒性</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_Toc4160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tabs>
              <w:tab w:val="right" w:leader="dot" w:pos="8845"/>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_Toc28813 </w:instrText>
          </w:r>
          <w:r>
            <w:rPr>
              <w:rFonts w:hint="eastAsia" w:ascii="宋体" w:hAnsi="宋体" w:eastAsia="宋体" w:cs="宋体"/>
              <w:sz w:val="24"/>
              <w:szCs w:val="24"/>
            </w:rPr>
            <w:fldChar w:fldCharType="separate"/>
          </w:r>
          <w:r>
            <w:rPr>
              <w:rFonts w:hint="eastAsia" w:ascii="宋体" w:hAnsi="宋体" w:eastAsia="宋体" w:cs="宋体"/>
              <w:bCs/>
              <w:kern w:val="2"/>
              <w:sz w:val="24"/>
              <w:szCs w:val="24"/>
              <w:lang w:val="en-US" w:eastAsia="zh-CN" w:bidi="ar-SA"/>
            </w:rPr>
            <w:t>（三）肾毒性</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_Toc28813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tabs>
              <w:tab w:val="right" w:leader="dot" w:pos="8845"/>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_Toc29163 </w:instrText>
          </w:r>
          <w:r>
            <w:rPr>
              <w:rFonts w:hint="eastAsia" w:ascii="宋体" w:hAnsi="宋体" w:eastAsia="宋体" w:cs="宋体"/>
              <w:sz w:val="24"/>
              <w:szCs w:val="24"/>
            </w:rPr>
            <w:fldChar w:fldCharType="separate"/>
          </w:r>
          <w:r>
            <w:rPr>
              <w:rFonts w:hint="eastAsia" w:ascii="宋体" w:hAnsi="宋体" w:eastAsia="宋体" w:cs="宋体"/>
              <w:bCs/>
              <w:kern w:val="2"/>
              <w:sz w:val="24"/>
              <w:szCs w:val="24"/>
              <w:lang w:val="en-US" w:eastAsia="zh-CN" w:bidi="ar-SA"/>
            </w:rPr>
            <w:t>（四）血液不良反应贫血</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_Toc29163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tabs>
              <w:tab w:val="right" w:leader="dot" w:pos="8845"/>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_Toc3947 </w:instrText>
          </w:r>
          <w:r>
            <w:rPr>
              <w:rFonts w:hint="eastAsia" w:ascii="宋体" w:hAnsi="宋体" w:eastAsia="宋体" w:cs="宋体"/>
              <w:sz w:val="24"/>
              <w:szCs w:val="24"/>
            </w:rPr>
            <w:fldChar w:fldCharType="separate"/>
          </w:r>
          <w:r>
            <w:rPr>
              <w:rFonts w:hint="eastAsia" w:ascii="宋体" w:hAnsi="宋体" w:eastAsia="宋体" w:cs="宋体"/>
              <w:bCs/>
              <w:kern w:val="2"/>
              <w:sz w:val="24"/>
              <w:szCs w:val="24"/>
              <w:lang w:val="en-US" w:eastAsia="zh-CN" w:bidi="ar-SA"/>
            </w:rPr>
            <w:t>（五）白细胞减少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_Toc3947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tabs>
              <w:tab w:val="right" w:leader="dot" w:pos="8845"/>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_Toc30925 </w:instrText>
          </w:r>
          <w:r>
            <w:rPr>
              <w:rFonts w:hint="eastAsia" w:ascii="宋体" w:hAnsi="宋体" w:eastAsia="宋体" w:cs="宋体"/>
              <w:sz w:val="24"/>
              <w:szCs w:val="24"/>
            </w:rPr>
            <w:fldChar w:fldCharType="separate"/>
          </w:r>
          <w:r>
            <w:rPr>
              <w:rFonts w:hint="eastAsia" w:ascii="宋体" w:hAnsi="宋体" w:eastAsia="宋体" w:cs="宋体"/>
              <w:bCs/>
              <w:kern w:val="2"/>
              <w:sz w:val="24"/>
              <w:szCs w:val="24"/>
              <w:lang w:val="en-US" w:eastAsia="zh-CN" w:bidi="ar-SA"/>
            </w:rPr>
            <w:t>（六）血小板减少症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_Toc30925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tabs>
              <w:tab w:val="right" w:leader="dot" w:pos="8845"/>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_Toc17138 </w:instrText>
          </w:r>
          <w:r>
            <w:rPr>
              <w:rFonts w:hint="eastAsia" w:ascii="宋体" w:hAnsi="宋体" w:eastAsia="宋体" w:cs="宋体"/>
              <w:sz w:val="24"/>
              <w:szCs w:val="24"/>
            </w:rPr>
            <w:fldChar w:fldCharType="separate"/>
          </w:r>
          <w:r>
            <w:rPr>
              <w:rFonts w:hint="eastAsia" w:ascii="宋体" w:hAnsi="宋体" w:eastAsia="宋体" w:cs="宋体"/>
              <w:bCs/>
              <w:kern w:val="2"/>
              <w:sz w:val="24"/>
              <w:szCs w:val="24"/>
              <w:lang w:val="en-US" w:eastAsia="zh-CN" w:bidi="ar-SA"/>
            </w:rPr>
            <w:t>三、抗生素合理用药</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_Toc17138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tabs>
              <w:tab w:val="right" w:leader="dot" w:pos="8845"/>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_Toc11736 </w:instrText>
          </w:r>
          <w:r>
            <w:rPr>
              <w:rFonts w:hint="eastAsia" w:ascii="宋体" w:hAnsi="宋体" w:eastAsia="宋体" w:cs="宋体"/>
              <w:sz w:val="24"/>
              <w:szCs w:val="24"/>
            </w:rPr>
            <w:fldChar w:fldCharType="separate"/>
          </w:r>
          <w:r>
            <w:rPr>
              <w:rFonts w:hint="eastAsia" w:ascii="宋体" w:hAnsi="宋体" w:eastAsia="宋体" w:cs="宋体"/>
              <w:bCs/>
              <w:kern w:val="2"/>
              <w:sz w:val="24"/>
              <w:szCs w:val="24"/>
              <w:lang w:val="en-US" w:eastAsia="zh-CN" w:bidi="ar-SA"/>
            </w:rPr>
            <w:t>（一）加强对医护人员抗生素合理用药的基础培训</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_Toc11736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tabs>
              <w:tab w:val="right" w:leader="dot" w:pos="8845"/>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_Toc15513 </w:instrText>
          </w:r>
          <w:r>
            <w:rPr>
              <w:rFonts w:hint="eastAsia" w:ascii="宋体" w:hAnsi="宋体" w:eastAsia="宋体" w:cs="宋体"/>
              <w:sz w:val="24"/>
              <w:szCs w:val="24"/>
            </w:rPr>
            <w:fldChar w:fldCharType="separate"/>
          </w:r>
          <w:r>
            <w:rPr>
              <w:rFonts w:hint="eastAsia" w:ascii="宋体" w:hAnsi="宋体" w:eastAsia="宋体" w:cs="宋体"/>
              <w:bCs/>
              <w:kern w:val="2"/>
              <w:sz w:val="24"/>
              <w:szCs w:val="24"/>
              <w:lang w:val="en-US" w:eastAsia="zh-CN" w:bidi="ar-SA"/>
            </w:rPr>
            <w:t>（二）医师严格掌握抗生素用药</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_Toc15513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tabs>
              <w:tab w:val="right" w:leader="dot" w:pos="8845"/>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_Toc24490 </w:instrText>
          </w:r>
          <w:r>
            <w:rPr>
              <w:rFonts w:hint="eastAsia" w:ascii="宋体" w:hAnsi="宋体" w:eastAsia="宋体" w:cs="宋体"/>
              <w:sz w:val="24"/>
              <w:szCs w:val="24"/>
            </w:rPr>
            <w:fldChar w:fldCharType="separate"/>
          </w:r>
          <w:r>
            <w:rPr>
              <w:rFonts w:hint="eastAsia" w:ascii="宋体" w:hAnsi="宋体" w:eastAsia="宋体" w:cs="宋体"/>
              <w:bCs/>
              <w:kern w:val="2"/>
              <w:sz w:val="24"/>
              <w:szCs w:val="24"/>
              <w:lang w:val="en-US" w:eastAsia="zh-CN" w:bidi="ar-SA"/>
            </w:rPr>
            <w:t>（三）提高患者抗生素相关基础认知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_Toc24490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tabs>
              <w:tab w:val="right" w:leader="dot" w:pos="8845"/>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_Toc3945 </w:instrText>
          </w:r>
          <w:r>
            <w:rPr>
              <w:rFonts w:hint="eastAsia" w:ascii="宋体" w:hAnsi="宋体" w:eastAsia="宋体" w:cs="宋体"/>
              <w:sz w:val="24"/>
              <w:szCs w:val="24"/>
            </w:rPr>
            <w:fldChar w:fldCharType="separate"/>
          </w:r>
          <w:r>
            <w:rPr>
              <w:rFonts w:hint="eastAsia" w:ascii="宋体" w:hAnsi="宋体" w:eastAsia="宋体" w:cs="宋体"/>
              <w:bCs/>
              <w:kern w:val="2"/>
              <w:sz w:val="24"/>
              <w:szCs w:val="24"/>
              <w:lang w:val="en-US" w:eastAsia="zh-CN" w:bidi="ar-SA"/>
            </w:rPr>
            <w:t>结论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_Toc3945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tabs>
              <w:tab w:val="right" w:leader="dot" w:pos="8845"/>
            </w:tabs>
            <w:kinsoku/>
            <w:wordWrap/>
            <w:overflowPunct/>
            <w:topLinePunct w:val="0"/>
            <w:autoSpaceDE/>
            <w:autoSpaceDN/>
            <w:bidi w:val="0"/>
            <w:adjustRightInd/>
            <w:snapToGrid/>
            <w:spacing w:line="360" w:lineRule="auto"/>
            <w:textAlignment w:val="auto"/>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_Toc24712 </w:instrText>
          </w:r>
          <w:r>
            <w:rPr>
              <w:rFonts w:hint="eastAsia" w:ascii="宋体" w:hAnsi="宋体" w:eastAsia="宋体" w:cs="宋体"/>
              <w:sz w:val="24"/>
              <w:szCs w:val="24"/>
            </w:rPr>
            <w:fldChar w:fldCharType="separate"/>
          </w:r>
          <w:r>
            <w:rPr>
              <w:rFonts w:hint="eastAsia" w:ascii="宋体" w:hAnsi="宋体" w:eastAsia="宋体" w:cs="宋体"/>
              <w:bCs/>
              <w:kern w:val="2"/>
              <w:sz w:val="24"/>
              <w:szCs w:val="24"/>
              <w:lang w:val="en-US" w:eastAsia="zh-CN" w:bidi="ar-SA"/>
            </w:rPr>
            <w:t>参考文献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_Toc24712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r>
            <w:fldChar w:fldCharType="end"/>
          </w:r>
        </w:p>
      </w:sdtContent>
    </w:sdt>
    <w:p>
      <w:pPr>
        <w:rPr>
          <w:rFonts w:hint="eastAsia" w:ascii="宋体" w:hAnsi="宋体" w:eastAsia="宋体" w:cs="宋体"/>
          <w:b/>
          <w:bCs/>
          <w:kern w:val="2"/>
          <w:sz w:val="28"/>
          <w:szCs w:val="28"/>
          <w:lang w:val="en-US" w:eastAsia="zh-CN" w:bidi="ar-SA"/>
        </w:rPr>
      </w:pPr>
      <w:bookmarkStart w:id="3" w:name="_Toc20357"/>
      <w:r>
        <w:rPr>
          <w:rFonts w:hint="eastAsia" w:ascii="宋体" w:hAnsi="宋体" w:eastAsia="宋体" w:cs="宋体"/>
          <w:b/>
          <w:bCs/>
          <w:kern w:val="2"/>
          <w:sz w:val="28"/>
          <w:szCs w:val="28"/>
          <w:lang w:val="en-US" w:eastAsia="zh-CN" w:bidi="ar-SA"/>
        </w:rPr>
        <w:br w:type="page"/>
      </w:r>
    </w:p>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551" w:firstLineChars="196"/>
        <w:jc w:val="both"/>
        <w:textAlignment w:val="auto"/>
        <w:outlineLvl w:val="0"/>
        <w:rPr>
          <w:rFonts w:hint="default"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一、抗生素不良反应分析</w:t>
      </w:r>
      <w:bookmarkEnd w:id="3"/>
    </w:p>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548" w:firstLineChars="196"/>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抗生素不良反应在给药后不久发生。ige介导例子包括早发性荨麻疹、过敏反应、支气管痉挛和血管性水肿。非ige介导的反应包括溶血性贫血、血小板减少症、急性间质性肾炎、血清病、血管炎、多形性红斑、史蒂文斯-约翰逊综合征和中毒性表皮坏死松解症。毒性通常是由于过量用药或药物代谢受损，是给药物数量超过宿主生理上“管理”的数量的结果。过量用药引起的毒性的例子包括与青霉素相关的神经毒性（如抽搐、癫痫发作）和氨基糖苷类药物引起的毒性。药物代谢或清除率下降可能是由于肝肾功能受损所致。例如，青霉素G神经毒性可能由氨基糖苷引起的肾功能衰竭引起。副作用包括既不是免疫介导的，也不与药物毒性水平相关的不良反应。由红霉素引起的消化不良就是一个例子。通过影响药物代谢，患者的基因型可使他或她容易发生过敏反应（如阿巴卡韦相关的过敏反应）或毒性。例如，异烟肼相关的周围神经病变更有可能发生在乙酰化药物缓慢的患者中。</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551" w:firstLineChars="196"/>
        <w:jc w:val="both"/>
        <w:textAlignment w:val="auto"/>
        <w:outlineLvl w:val="0"/>
        <w:rPr>
          <w:rFonts w:hint="default" w:ascii="宋体" w:hAnsi="宋体" w:eastAsia="宋体" w:cs="宋体"/>
          <w:b/>
          <w:bCs/>
          <w:kern w:val="2"/>
          <w:sz w:val="28"/>
          <w:szCs w:val="28"/>
          <w:lang w:val="en-US" w:eastAsia="zh-CN" w:bidi="ar-SA"/>
        </w:rPr>
      </w:pPr>
      <w:bookmarkStart w:id="4" w:name="_Toc3288"/>
      <w:r>
        <w:rPr>
          <w:rFonts w:hint="eastAsia" w:ascii="宋体" w:hAnsi="宋体" w:eastAsia="宋体" w:cs="宋体"/>
          <w:b/>
          <w:bCs/>
          <w:kern w:val="2"/>
          <w:sz w:val="28"/>
          <w:szCs w:val="28"/>
          <w:lang w:val="en-US" w:eastAsia="zh-CN" w:bidi="ar-SA"/>
        </w:rPr>
        <w:t>二、抗生素不良反应具体类型</w:t>
      </w:r>
      <w:bookmarkEnd w:id="4"/>
    </w:p>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551" w:firstLineChars="196"/>
        <w:jc w:val="both"/>
        <w:textAlignment w:val="auto"/>
        <w:outlineLvl w:val="1"/>
        <w:rPr>
          <w:rFonts w:hint="eastAsia" w:ascii="宋体" w:hAnsi="宋体" w:eastAsia="宋体" w:cs="宋体"/>
          <w:b/>
          <w:bCs/>
          <w:kern w:val="2"/>
          <w:sz w:val="28"/>
          <w:szCs w:val="28"/>
          <w:lang w:val="en-US" w:eastAsia="zh-CN" w:bidi="ar-SA"/>
        </w:rPr>
      </w:pPr>
      <w:bookmarkStart w:id="5" w:name="_Toc4330"/>
      <w:r>
        <w:rPr>
          <w:rFonts w:hint="eastAsia" w:ascii="宋体" w:hAnsi="宋体" w:eastAsia="宋体" w:cs="宋体"/>
          <w:b/>
          <w:bCs/>
          <w:kern w:val="2"/>
          <w:sz w:val="28"/>
          <w:szCs w:val="28"/>
          <w:lang w:val="en-US" w:eastAsia="zh-CN" w:bidi="ar-SA"/>
        </w:rPr>
        <w:t>（一）过敏反应</w:t>
      </w:r>
      <w:bookmarkEnd w:id="5"/>
    </w:p>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548" w:firstLineChars="196"/>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过敏反应是一种急性超敏反应，可导致立即的荨麻疹、喉痉挛、支气管痉挛、低血压和死亡。在重症监护环境中，这些反应可能被潜在的条件或其他治疗方法所掩盖。虽然过敏反应可以由抗原-抗体复合物沉淀，但它通常是IgE介导的。抗生素表位与肥大细胞表面特异性预制的IgE抗体的结合，导致组胺和其他介质的释放，从而导致上述临床表现。与其他抗菌素相比，内酰胺更经常与这些反应有关。青霉素的最佳数据是，过敏反应的风险约为0.01%。 制剂每10万个疗程中就有1人死亡。相反，根据皮肤测试，只有10%到20% 的声称对青霉素过敏的患者是真正过敏的。50%的皮肤试验呈阳性的患者在服用青霉素时会立即产生反应。大约4%有青霉素过敏史的患者检测呈阳性严重。空白细胞表明反应很少发生，通常是温和的。给青霉素时，青霉素发生反应（很少有过敏反应）。有趣的是，有青霉素相关过敏样事件病史的患者，在服用磺胺或头孢菌素时，发生反应的风险也同样增加。碳青霉烯与青霉素交叉反应的发生率存在争议，最近的研究发现交叉反应率较低。对于有除头孢他啶外的所有b-内酰胺过敏史的患者，给予阿曲南是安全的。</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551" w:firstLineChars="196"/>
        <w:jc w:val="both"/>
        <w:textAlignment w:val="auto"/>
        <w:outlineLvl w:val="1"/>
        <w:rPr>
          <w:rFonts w:hint="eastAsia" w:ascii="宋体" w:hAnsi="宋体" w:eastAsia="宋体" w:cs="宋体"/>
          <w:b/>
          <w:bCs/>
          <w:kern w:val="2"/>
          <w:sz w:val="28"/>
          <w:szCs w:val="28"/>
          <w:lang w:val="en-US" w:eastAsia="zh-CN" w:bidi="ar-SA"/>
        </w:rPr>
      </w:pPr>
      <w:bookmarkStart w:id="6" w:name="_Toc4160"/>
      <w:r>
        <w:rPr>
          <w:rFonts w:hint="eastAsia" w:ascii="宋体" w:hAnsi="宋体" w:eastAsia="宋体" w:cs="宋体"/>
          <w:b/>
          <w:bCs/>
          <w:kern w:val="2"/>
          <w:sz w:val="28"/>
          <w:szCs w:val="28"/>
          <w:lang w:val="en-US" w:eastAsia="zh-CN" w:bidi="ar-SA"/>
        </w:rPr>
        <w:t>（二）心脏毒性</w:t>
      </w:r>
      <w:bookmarkEnd w:id="6"/>
    </w:p>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548" w:firstLineChars="196"/>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一项对作者所在机构的重症监护医生的调查发现，他们最关心的抗生素不良反应是室性心律失常导致的Q-T延长。对于易感底物（如冠状动脉疾病）的患者，沉淀器（如药物或电解质紊乱）可导致尖点扭转和猝死。通常，Q-T延长先于药物引起的心律失常。然而，药物诱导的Q-T延长并不总是导致尖点扭转，可导致扭转的药物也不总是延长Q-T间期。可以延长Q-T间期的抗生素包括大环内酯类、一些喹诺酮类、唑类、喷他脒和奎宁。一项对口服红霉素患者的队列研究发现，接受这种大环内酯[17]的患者猝死风险增加了两倍。临床医生应考虑对基线Q-Tc间期大于500 ms的患者使用替代抗生素。如果Q-Tc间期增加30 ms至60 ms或超过500 ms，则用不同的药物替代已知的责任剂应视为。有报道称，使用万古霉素时会出现心肌抑制、低血压和猝死，通常是在围手术期快速给药。同样，快速给予两性霉素B与心室颤动和心脏停搏有关，特别是在肾功能不全的患者中。两性注射素和喷他脒可导致低血压。</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551" w:firstLineChars="196"/>
        <w:jc w:val="both"/>
        <w:textAlignment w:val="auto"/>
        <w:outlineLvl w:val="1"/>
        <w:rPr>
          <w:rFonts w:hint="eastAsia" w:ascii="宋体" w:hAnsi="宋体" w:eastAsia="宋体" w:cs="宋体"/>
          <w:b/>
          <w:bCs/>
          <w:kern w:val="2"/>
          <w:sz w:val="28"/>
          <w:szCs w:val="28"/>
          <w:lang w:val="en-US" w:eastAsia="zh-CN" w:bidi="ar-SA"/>
        </w:rPr>
      </w:pPr>
      <w:bookmarkStart w:id="7" w:name="_Toc28813"/>
      <w:r>
        <w:rPr>
          <w:rFonts w:hint="eastAsia" w:ascii="宋体" w:hAnsi="宋体" w:eastAsia="宋体" w:cs="宋体"/>
          <w:b/>
          <w:bCs/>
          <w:kern w:val="2"/>
          <w:sz w:val="28"/>
          <w:szCs w:val="28"/>
          <w:lang w:val="en-US" w:eastAsia="zh-CN" w:bidi="ar-SA"/>
        </w:rPr>
        <w:t>（三）肾毒性</w:t>
      </w:r>
      <w:bookmarkEnd w:id="7"/>
    </w:p>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548" w:firstLineChars="196"/>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急性肾功能衰竭在ICU患者中很常见，并与大于60%的死亡风险相关。在ICU中使用的许多药物都能影响肾功能。其机制包括肾小球滤过性减少、急性肾小管坏死、间质性肾炎和药物在肾小管内的结晶。关于抗生素，氨基糖苷类和两性霉素是急性肾功能衰竭的典型类别；然而，其他药物包括磺胺类、b-内酰胺类和阿昔洛韦，也与此有关。与其他抗生素相关的不良反应一样，有独立导致这一并发症的患者或服用药物的患者产生肾毒性的可能性更大</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548" w:firstLineChars="196"/>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根据定义急性肾功能衰竭的标准，氨基糖苷引起的肾毒性发生在接受这些药物的患者中氨基糖苷引起的肾毒性。它通常由肾小管上皮细胞损伤引 起，表现为急性肾小管坏死。当使用血清肌酐的微小变化作为肾功能不全的标准时，一项研究发现庆大霉素（26%）比妥布霉素（12%）的肾毒性更大，而且肾毒性通常在开始使用氨基糖苷后的6-10天变得明显。然而，其他调查对这一结论提出了质疑。氨基糖苷诱导的急性肾小管坏死通常是非少尿和完全可逆的。然而，偶尔的患者需要临时透析，而罕见的患者需要慢性透析。导致氨基糖苷诱导肾毒性的因素包括剂量、治疗时间、其他管状毒素的使用和氨基糖苷谷水平的升高。</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548" w:firstLineChars="196"/>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直到最近，两性霉素B还是治疗由念珠菌或曲霉引起的严重真菌感染的首选药物。该药物仍用于隐球菌性脑膜炎，这是一种与艾滋病相关的疾病，偶尔需要在ICU进行治疗。两性霉素B可影响肾小管、肾血流或肾小球功能；在接受该药物[27]治疗的患者中，至少有60%至80%的患者出现肾功能不全。然而，肾功能不全通常是短暂的，很少有患者出现严重的长期肾后遗症。当高剂量使用时，很少会出现不可逆肾衰竭。两性霉素B毒性的危险因素包括基线肾功能异常、高每日剂量和总剂量，以及同时使用其他肾毒性药物（如氨基糖苷类、利尿剂）。然而，一些研究尚未发现其他药物增强两性霉素b诱导的肾毒性。在注射药物前逆转钠的消耗和优化体积状态可以降低两性霉素b诱导的肾毒性的风险。与使用母体化合物时相比，两性霉素B的脂质体制剂具有较低的肾毒性风险。</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551" w:firstLineChars="196"/>
        <w:jc w:val="both"/>
        <w:textAlignment w:val="auto"/>
        <w:outlineLvl w:val="1"/>
        <w:rPr>
          <w:rFonts w:hint="eastAsia" w:ascii="宋体" w:hAnsi="宋体" w:eastAsia="宋体" w:cs="宋体"/>
          <w:b/>
          <w:bCs/>
          <w:kern w:val="2"/>
          <w:sz w:val="28"/>
          <w:szCs w:val="28"/>
          <w:lang w:val="en-US" w:eastAsia="zh-CN" w:bidi="ar-SA"/>
        </w:rPr>
      </w:pPr>
      <w:bookmarkStart w:id="8" w:name="_Toc29163"/>
      <w:r>
        <w:rPr>
          <w:rFonts w:hint="eastAsia" w:ascii="宋体" w:hAnsi="宋体" w:eastAsia="宋体" w:cs="宋体"/>
          <w:b/>
          <w:bCs/>
          <w:kern w:val="2"/>
          <w:sz w:val="28"/>
          <w:szCs w:val="28"/>
          <w:lang w:val="en-US" w:eastAsia="zh-CN" w:bidi="ar-SA"/>
        </w:rPr>
        <w:t>（四）血液不良反应贫血</w:t>
      </w:r>
      <w:bookmarkEnd w:id="8"/>
    </w:p>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548" w:firstLineChars="196"/>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利奈唑胺、两性霉素B、氯霉素和更昔洛韦通过抑制红细胞生成而引起贫血。氯霉素（在美国很少使用）经常会导致可逆性贫血，如果循环药物浓度超过推荐范围，则会更常见。在每25,000名受者中，大约有1名患者的氯霉素会引起一种特殊的不可逆再生障碍性贫血。b-内酰胺、呋喃妥因和氨基糖苷类药物很少可引起溶血性贫血。葡萄糖6-磷酸脱氢酶缺乏症的患者易发生磺胺类药物和强力霉素诱导的溶血性贫血。</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551" w:firstLineChars="196"/>
        <w:jc w:val="both"/>
        <w:textAlignment w:val="auto"/>
        <w:outlineLvl w:val="1"/>
        <w:rPr>
          <w:rFonts w:hint="eastAsia" w:ascii="宋体" w:hAnsi="宋体" w:eastAsia="宋体" w:cs="宋体"/>
          <w:b/>
          <w:bCs/>
          <w:kern w:val="2"/>
          <w:sz w:val="28"/>
          <w:szCs w:val="28"/>
          <w:lang w:val="en-US" w:eastAsia="zh-CN" w:bidi="ar-SA"/>
        </w:rPr>
      </w:pPr>
      <w:bookmarkStart w:id="9" w:name="_Toc3947"/>
      <w:r>
        <w:rPr>
          <w:rFonts w:hint="eastAsia" w:ascii="宋体" w:hAnsi="宋体" w:eastAsia="宋体" w:cs="宋体"/>
          <w:b/>
          <w:bCs/>
          <w:kern w:val="2"/>
          <w:sz w:val="28"/>
          <w:szCs w:val="28"/>
          <w:lang w:val="en-US" w:eastAsia="zh-CN" w:bidi="ar-SA"/>
        </w:rPr>
        <w:t>（五）白细胞减少</w:t>
      </w:r>
      <w:bookmarkEnd w:id="9"/>
    </w:p>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548" w:firstLineChars="196"/>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抗生素诱导的白细胞减少和粒细胞缺乏症通常是可逆的。可导致中性粒细胞减少或粒细胞缺乏症的抗感染药物包括甲氧苄啶-磺胺甲恶唑、大多数b-乳酰胺、万古霉素、大环内酯类、克林霉素、氯霉素、氟胞嘧啶和两性霉素B。5%的b-内酰胺患者至15%出现严重中性粒细胞减少，并与治疗时间超过10天、高剂量药物和严重肝功能障碍相关。当肝功能正常的患者使用较短疗程的b-内酰胺时，中性粒细胞减少的可能性小于1%。患者很少会因为白细胞功能的减少而发生感染。万古霉素诱导的中性粒细胞减少症并不常见，通常只发生在静脉治疗2周以上。其病因似乎是循环髓细胞的外周破坏或隔离。嗜中性粒细胞减少症的迅速逆转通常发生在万古霉素停用后。</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551" w:firstLineChars="196"/>
        <w:jc w:val="both"/>
        <w:textAlignment w:val="auto"/>
        <w:outlineLvl w:val="1"/>
        <w:rPr>
          <w:rFonts w:hint="eastAsia" w:ascii="宋体" w:hAnsi="宋体" w:eastAsia="宋体" w:cs="宋体"/>
          <w:b/>
          <w:bCs/>
          <w:kern w:val="2"/>
          <w:sz w:val="28"/>
          <w:szCs w:val="28"/>
          <w:lang w:val="en-US" w:eastAsia="zh-CN" w:bidi="ar-SA"/>
        </w:rPr>
      </w:pPr>
      <w:bookmarkStart w:id="10" w:name="_Toc30925"/>
      <w:r>
        <w:rPr>
          <w:rFonts w:hint="eastAsia" w:ascii="宋体" w:hAnsi="宋体" w:eastAsia="宋体" w:cs="宋体"/>
          <w:b/>
          <w:bCs/>
          <w:kern w:val="2"/>
          <w:sz w:val="28"/>
          <w:szCs w:val="28"/>
          <w:lang w:val="en-US" w:eastAsia="zh-CN" w:bidi="ar-SA"/>
        </w:rPr>
        <w:t>（六）血小板减少症</w:t>
      </w:r>
      <w:bookmarkEnd w:id="10"/>
    </w:p>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548" w:firstLineChars="196"/>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抗生素相关的血小板减少症可能是由免疫诱导的血小板外周破坏或巨核细胞数量的减少引起的。恶唑烷酮类利奈唑胺是最有可能导致血小板破坏的抗菌药物。</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551" w:firstLineChars="196"/>
        <w:jc w:val="both"/>
        <w:textAlignment w:val="auto"/>
        <w:outlineLvl w:val="0"/>
        <w:rPr>
          <w:rFonts w:hint="default" w:ascii="宋体" w:hAnsi="宋体" w:eastAsia="宋体" w:cs="宋体"/>
          <w:b/>
          <w:bCs/>
          <w:kern w:val="2"/>
          <w:sz w:val="28"/>
          <w:szCs w:val="28"/>
          <w:lang w:val="en-US" w:eastAsia="zh-CN" w:bidi="ar-SA"/>
        </w:rPr>
      </w:pPr>
      <w:bookmarkStart w:id="11" w:name="_Toc17138"/>
      <w:r>
        <w:rPr>
          <w:rFonts w:hint="eastAsia" w:ascii="宋体" w:hAnsi="宋体" w:eastAsia="宋体" w:cs="宋体"/>
          <w:b/>
          <w:bCs/>
          <w:kern w:val="2"/>
          <w:sz w:val="28"/>
          <w:szCs w:val="28"/>
          <w:lang w:val="en-US" w:eastAsia="zh-CN" w:bidi="ar-SA"/>
        </w:rPr>
        <w:t>三、抗生素合理用药</w:t>
      </w:r>
      <w:bookmarkEnd w:id="11"/>
    </w:p>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551" w:firstLineChars="196"/>
        <w:jc w:val="both"/>
        <w:textAlignment w:val="auto"/>
        <w:outlineLvl w:val="1"/>
        <w:rPr>
          <w:rFonts w:hint="eastAsia" w:ascii="宋体" w:hAnsi="宋体" w:eastAsia="宋体" w:cs="宋体"/>
          <w:b/>
          <w:bCs/>
          <w:kern w:val="2"/>
          <w:sz w:val="28"/>
          <w:szCs w:val="28"/>
          <w:lang w:val="en-US" w:eastAsia="zh-CN" w:bidi="ar-SA"/>
        </w:rPr>
      </w:pPr>
      <w:bookmarkStart w:id="12" w:name="_Toc11736"/>
      <w:r>
        <w:rPr>
          <w:rFonts w:hint="eastAsia" w:ascii="宋体" w:hAnsi="宋体" w:eastAsia="宋体" w:cs="宋体"/>
          <w:b/>
          <w:bCs/>
          <w:kern w:val="2"/>
          <w:sz w:val="28"/>
          <w:szCs w:val="28"/>
          <w:lang w:val="en-US" w:eastAsia="zh-CN" w:bidi="ar-SA"/>
        </w:rPr>
        <w:t>（一）加强对医护人员抗生素合理用药的基础培训</w:t>
      </w:r>
      <w:bookmarkEnd w:id="12"/>
    </w:p>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548" w:firstLineChars="196"/>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医院应定期组织医护人员参加抗生素合理用药相关基础知识培训，内容以常见抗生素药理作用、合理应用、合理配伍为主，医护人员在培训过程中也要主动搜集相关资料提升自身专业素质，督促自身接受合理用药的理念与方法，加强对患者抗生素用药的监督工作，确保患者使用抗生素用药安全、有效。</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551" w:firstLineChars="196"/>
        <w:jc w:val="both"/>
        <w:textAlignment w:val="auto"/>
        <w:outlineLvl w:val="1"/>
        <w:rPr>
          <w:rFonts w:hint="eastAsia" w:ascii="宋体" w:hAnsi="宋体" w:eastAsia="宋体" w:cs="宋体"/>
          <w:b/>
          <w:bCs/>
          <w:kern w:val="2"/>
          <w:sz w:val="28"/>
          <w:szCs w:val="28"/>
          <w:lang w:val="en-US" w:eastAsia="zh-CN" w:bidi="ar-SA"/>
        </w:rPr>
      </w:pPr>
      <w:bookmarkStart w:id="13" w:name="_Toc15513"/>
      <w:r>
        <w:rPr>
          <w:rFonts w:hint="eastAsia" w:ascii="宋体" w:hAnsi="宋体" w:eastAsia="宋体" w:cs="宋体"/>
          <w:b/>
          <w:bCs/>
          <w:kern w:val="2"/>
          <w:sz w:val="28"/>
          <w:szCs w:val="28"/>
          <w:lang w:val="en-US" w:eastAsia="zh-CN" w:bidi="ar-SA"/>
        </w:rPr>
        <w:t>（二）医师严格掌握抗生素用药</w:t>
      </w:r>
      <w:bookmarkEnd w:id="13"/>
    </w:p>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548" w:firstLineChars="196"/>
        <w:jc w:val="both"/>
        <w:textAlignment w:val="auto"/>
        <w:outlineLvl w:val="9"/>
        <w:rPr>
          <w:rFonts w:hint="default"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临床使用抗生素治疗时，要准确识别每种抗生素的适应症，正确使用。首先，临床医生应根据患者的生理、病理特征或免疫状态选择和治疗合适的抗生素。和肾功能不全也有不同的病理生理特点，治疗时应合理选择抗生素，以免影响患者自身及药物代谢和吸收： 发病率增加引起尿素血症等。因此，临床医生必须严格遵守各种抗生素的使用适应证，合理选择抗生素的种类，</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551" w:firstLineChars="196"/>
        <w:jc w:val="both"/>
        <w:textAlignment w:val="auto"/>
        <w:outlineLvl w:val="1"/>
        <w:rPr>
          <w:rFonts w:hint="eastAsia" w:ascii="宋体" w:hAnsi="宋体" w:eastAsia="宋体" w:cs="宋体"/>
          <w:b/>
          <w:bCs/>
          <w:kern w:val="2"/>
          <w:sz w:val="28"/>
          <w:szCs w:val="28"/>
          <w:lang w:val="en-US" w:eastAsia="zh-CN" w:bidi="ar-SA"/>
        </w:rPr>
      </w:pPr>
      <w:bookmarkStart w:id="14" w:name="_Toc24490"/>
      <w:r>
        <w:rPr>
          <w:rFonts w:hint="eastAsia" w:ascii="宋体" w:hAnsi="宋体" w:eastAsia="宋体" w:cs="宋体"/>
          <w:b/>
          <w:bCs/>
          <w:kern w:val="2"/>
          <w:sz w:val="28"/>
          <w:szCs w:val="28"/>
          <w:lang w:val="en-US" w:eastAsia="zh-CN" w:bidi="ar-SA"/>
        </w:rPr>
        <w:t>（三）提高患者抗生素相关基础认知</w:t>
      </w:r>
      <w:bookmarkEnd w:id="14"/>
    </w:p>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548" w:firstLineChars="196"/>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治疗期间，健康教育工作提高了患者对冀望系统知识的掌握程度，目的是提高患者的用药依从性和临床应用的安全性，防止出现失明现象和个体用药及可靠性。例如，一些回缺乏对抗生素的基本了解，并认为更昂贵和更高对数的抗生素效果更好。因此，在应用抗生素治疗过程中，医务人员应根据药物的药理特性、成分及影响因素对患者进行健康教育，增加对抗生素使用的认识，防止擅自用药的发生。缺失的用途和额外的用途。</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551" w:firstLineChars="196"/>
        <w:jc w:val="both"/>
        <w:textAlignment w:val="auto"/>
        <w:outlineLvl w:val="0"/>
        <w:rPr>
          <w:rFonts w:hint="eastAsia" w:ascii="宋体" w:hAnsi="宋体" w:eastAsia="宋体" w:cs="宋体"/>
          <w:b/>
          <w:bCs/>
          <w:kern w:val="2"/>
          <w:sz w:val="28"/>
          <w:szCs w:val="28"/>
          <w:lang w:val="en-US" w:eastAsia="zh-CN" w:bidi="ar-SA"/>
        </w:rPr>
      </w:pPr>
      <w:bookmarkStart w:id="15" w:name="_Toc3945"/>
      <w:r>
        <w:rPr>
          <w:rFonts w:hint="eastAsia" w:ascii="宋体" w:hAnsi="宋体" w:eastAsia="宋体" w:cs="宋体"/>
          <w:b/>
          <w:bCs/>
          <w:kern w:val="2"/>
          <w:sz w:val="28"/>
          <w:szCs w:val="28"/>
          <w:lang w:val="en-US" w:eastAsia="zh-CN" w:bidi="ar-SA"/>
        </w:rPr>
        <w:t>结论</w:t>
      </w:r>
      <w:bookmarkEnd w:id="15"/>
    </w:p>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548" w:firstLineChars="196"/>
        <w:jc w:val="both"/>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目前我国仍存在滥用和不合理使用抗生素的现象，患者不良反应发生率较高，</w:t>
      </w:r>
      <w:r>
        <w:rPr>
          <w:rFonts w:hint="eastAsia" w:cs="宋体"/>
          <w:b w:val="0"/>
          <w:bCs w:val="0"/>
          <w:kern w:val="2"/>
          <w:sz w:val="28"/>
          <w:szCs w:val="28"/>
          <w:lang w:val="en-US" w:eastAsia="zh-CN" w:bidi="ar-SA"/>
        </w:rPr>
        <w:t>因此医院</w:t>
      </w:r>
      <w:r>
        <w:rPr>
          <w:rFonts w:hint="eastAsia" w:ascii="宋体" w:hAnsi="宋体" w:eastAsia="宋体" w:cs="宋体"/>
          <w:b w:val="0"/>
          <w:bCs w:val="0"/>
          <w:kern w:val="2"/>
          <w:sz w:val="28"/>
          <w:szCs w:val="28"/>
          <w:lang w:val="en-US" w:eastAsia="zh-CN" w:bidi="ar-SA"/>
        </w:rPr>
        <w:t>提高医院、医师、患者对抗生素合理用药的重视程度，进而提高抗生素使用的安全性与有效性。目前</w:t>
      </w:r>
      <w:r>
        <w:rPr>
          <w:rFonts w:hint="eastAsia" w:ascii="宋体" w:hAnsi="宋体" w:eastAsia="宋体" w:cs="宋体"/>
          <w:b w:val="0"/>
          <w:bCs w:val="0"/>
          <w:kern w:val="2"/>
          <w:sz w:val="28"/>
          <w:szCs w:val="28"/>
          <w:lang w:val="en-US" w:eastAsia="zh-CN" w:bidi="ar-SA"/>
        </w:rPr>
        <w:br w:type="page"/>
      </w:r>
    </w:p>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551" w:firstLineChars="196"/>
        <w:jc w:val="both"/>
        <w:textAlignment w:val="auto"/>
        <w:outlineLvl w:val="0"/>
        <w:rPr>
          <w:rFonts w:hint="eastAsia" w:ascii="宋体" w:hAnsi="宋体" w:eastAsia="宋体" w:cs="宋体"/>
          <w:b/>
          <w:bCs/>
          <w:kern w:val="2"/>
          <w:sz w:val="28"/>
          <w:szCs w:val="28"/>
          <w:lang w:val="en-US" w:eastAsia="zh-CN" w:bidi="ar-SA"/>
        </w:rPr>
      </w:pPr>
      <w:bookmarkStart w:id="16" w:name="_Toc24712"/>
      <w:r>
        <w:rPr>
          <w:rFonts w:hint="eastAsia" w:ascii="宋体" w:hAnsi="宋体" w:eastAsia="宋体" w:cs="宋体"/>
          <w:b/>
          <w:bCs/>
          <w:kern w:val="2"/>
          <w:sz w:val="28"/>
          <w:szCs w:val="28"/>
          <w:lang w:val="en-US" w:eastAsia="zh-CN" w:bidi="ar-SA"/>
        </w:rPr>
        <w:t>参考文献</w:t>
      </w:r>
      <w:bookmarkEnd w:id="16"/>
    </w:p>
    <w:p>
      <w:pPr>
        <w:keepNext w:val="0"/>
        <w:keepLines w:val="0"/>
        <w:pageBreakBefore w:val="0"/>
        <w:widowControl w:val="0"/>
        <w:kinsoku/>
        <w:wordWrap/>
        <w:overflowPunct/>
        <w:topLinePunct w:val="0"/>
        <w:autoSpaceDE/>
        <w:autoSpaceDN/>
        <w:bidi w:val="0"/>
        <w:adjustRightInd/>
        <w:snapToGrid/>
        <w:spacing w:before="0" w:after="0" w:line="400" w:lineRule="exact"/>
        <w:ind w:left="0" w:right="0"/>
        <w:jc w:val="both"/>
        <w:textAlignment w:val="auto"/>
        <w:rPr>
          <w:rFonts w:hint="default" w:ascii="Times New Roman" w:hAnsi="Times New Roman" w:cstheme="minorBidi"/>
          <w:kern w:val="2"/>
          <w:sz w:val="21"/>
          <w:szCs w:val="24"/>
          <w:lang w:val="en-US" w:eastAsia="zh-CN" w:bidi="ar-SA"/>
        </w:rPr>
      </w:pPr>
      <w:r>
        <w:rPr>
          <w:rFonts w:hint="default" w:ascii="Times New Roman" w:hAnsi="Times New Roman" w:cstheme="minorBidi"/>
          <w:kern w:val="2"/>
          <w:sz w:val="21"/>
          <w:szCs w:val="24"/>
          <w:lang w:val="en-US" w:eastAsia="zh-CN" w:bidi="ar-SA"/>
        </w:rPr>
        <w:t>[1] 张士洋, 程军, 陈志武. 350例头孢菌素类抗生素不良反应报告分析[J]. 安徽医药, 2011, 15(4):3.</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0"/>
        <w:jc w:val="both"/>
        <w:textAlignment w:val="auto"/>
        <w:rPr>
          <w:rFonts w:hint="default" w:ascii="Times New Roman" w:hAnsi="Times New Roman" w:cstheme="minorBidi"/>
          <w:kern w:val="2"/>
          <w:sz w:val="21"/>
          <w:szCs w:val="24"/>
          <w:lang w:val="en-US" w:eastAsia="zh-CN" w:bidi="ar-SA"/>
        </w:rPr>
      </w:pPr>
      <w:r>
        <w:rPr>
          <w:rFonts w:hint="default" w:ascii="Times New Roman" w:hAnsi="Times New Roman" w:cstheme="minorBidi"/>
          <w:kern w:val="2"/>
          <w:sz w:val="21"/>
          <w:szCs w:val="24"/>
          <w:lang w:val="en-US" w:eastAsia="zh-CN" w:bidi="ar-SA"/>
        </w:rPr>
        <w:t>[2] 杨晓华. 1230例抗生素不良反应分析[J]. 中国药房, 2001, 12(002):106-107.</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0"/>
        <w:jc w:val="both"/>
        <w:textAlignment w:val="auto"/>
        <w:rPr>
          <w:rFonts w:hint="default" w:ascii="Times New Roman" w:hAnsi="Times New Roman" w:cstheme="minorBidi"/>
          <w:kern w:val="2"/>
          <w:sz w:val="21"/>
          <w:szCs w:val="24"/>
          <w:lang w:val="en-US" w:eastAsia="zh-CN" w:bidi="ar-SA"/>
        </w:rPr>
      </w:pPr>
      <w:r>
        <w:rPr>
          <w:rFonts w:hint="default" w:ascii="Times New Roman" w:hAnsi="Times New Roman" w:cstheme="minorBidi"/>
          <w:kern w:val="2"/>
          <w:sz w:val="21"/>
          <w:szCs w:val="24"/>
          <w:lang w:val="en-US" w:eastAsia="zh-CN" w:bidi="ar-SA"/>
        </w:rPr>
        <w:t>[3] 张玲, 张芳, 曹敬花,等. 头孢菌素类抗生素不良反应与过敏史相关性的临床观察[J]. 中国实用护理杂志, 2003, 19(006):55-56.</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0"/>
        <w:jc w:val="both"/>
        <w:textAlignment w:val="auto"/>
        <w:rPr>
          <w:rFonts w:hint="default" w:ascii="Times New Roman" w:hAnsi="Times New Roman" w:cstheme="minorBidi"/>
          <w:kern w:val="2"/>
          <w:sz w:val="21"/>
          <w:szCs w:val="24"/>
          <w:lang w:val="en-US" w:eastAsia="zh-CN" w:bidi="ar-SA"/>
        </w:rPr>
      </w:pPr>
      <w:r>
        <w:rPr>
          <w:rFonts w:hint="default" w:ascii="Times New Roman" w:hAnsi="Times New Roman" w:cstheme="minorBidi"/>
          <w:kern w:val="2"/>
          <w:sz w:val="21"/>
          <w:szCs w:val="24"/>
          <w:lang w:val="en-US" w:eastAsia="zh-CN" w:bidi="ar-SA"/>
        </w:rPr>
        <w:t>[4] 张贺真, 周学琴, 王爱丽,等. 428例抗生素不良反应/事件报告相关因素分析[J]. 中华现代护理杂志, 2011, 17(24):3.</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0"/>
        <w:jc w:val="both"/>
        <w:textAlignment w:val="auto"/>
        <w:rPr>
          <w:rFonts w:hint="default" w:ascii="Times New Roman" w:hAnsi="Times New Roman" w:cstheme="minorBidi"/>
          <w:kern w:val="2"/>
          <w:sz w:val="21"/>
          <w:szCs w:val="24"/>
          <w:lang w:val="en-US" w:eastAsia="zh-CN" w:bidi="ar-SA"/>
        </w:rPr>
      </w:pPr>
      <w:r>
        <w:rPr>
          <w:rFonts w:hint="default" w:ascii="Times New Roman" w:hAnsi="Times New Roman" w:cstheme="minorBidi"/>
          <w:kern w:val="2"/>
          <w:sz w:val="21"/>
          <w:szCs w:val="24"/>
          <w:lang w:val="en-US" w:eastAsia="zh-CN" w:bidi="ar-SA"/>
        </w:rPr>
        <w:t>[5] 冯玲玲. 122例β-内酰胺类抗生素不良反应分析[J]. 河南大学学报:医学版, 2006.</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0"/>
        <w:jc w:val="both"/>
        <w:textAlignment w:val="auto"/>
        <w:rPr>
          <w:rFonts w:hint="default" w:ascii="Times New Roman" w:hAnsi="Times New Roman" w:cstheme="minorBidi"/>
          <w:kern w:val="2"/>
          <w:sz w:val="21"/>
          <w:szCs w:val="24"/>
          <w:lang w:val="en-US" w:eastAsia="zh-CN" w:bidi="ar-SA"/>
        </w:rPr>
      </w:pPr>
      <w:r>
        <w:rPr>
          <w:rFonts w:hint="default" w:ascii="Times New Roman" w:hAnsi="Times New Roman" w:cstheme="minorBidi"/>
          <w:kern w:val="2"/>
          <w:sz w:val="21"/>
          <w:szCs w:val="24"/>
          <w:lang w:val="en-US" w:eastAsia="zh-CN" w:bidi="ar-SA"/>
        </w:rPr>
        <w:t>[6] 赵玉芬. β3-内酰胺类抗生素安全用药建议[J]. 中国药师, 2001, 4(1):2.</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0"/>
        <w:jc w:val="both"/>
        <w:textAlignment w:val="auto"/>
        <w:rPr>
          <w:rFonts w:hint="default" w:ascii="Times New Roman" w:hAnsi="Times New Roman" w:cstheme="minorBidi"/>
          <w:kern w:val="2"/>
          <w:sz w:val="21"/>
          <w:szCs w:val="24"/>
          <w:lang w:val="en-US" w:eastAsia="zh-CN" w:bidi="ar-SA"/>
        </w:rPr>
      </w:pPr>
      <w:r>
        <w:rPr>
          <w:rFonts w:hint="default" w:ascii="Times New Roman" w:hAnsi="Times New Roman" w:cstheme="minorBidi"/>
          <w:kern w:val="2"/>
          <w:sz w:val="21"/>
          <w:szCs w:val="24"/>
          <w:lang w:val="en-US" w:eastAsia="zh-CN" w:bidi="ar-SA"/>
        </w:rPr>
        <w:t>[7] 祁桂芬. 护理干预对提高呼吸内科患者抗生素安全用药认知的临床研究[J]. 海峡药学, 2015, 27(3):2.</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0"/>
        <w:jc w:val="both"/>
        <w:textAlignment w:val="auto"/>
        <w:rPr>
          <w:rFonts w:hint="default" w:ascii="Times New Roman" w:hAnsi="Times New Roman" w:cstheme="minorBidi"/>
          <w:kern w:val="2"/>
          <w:sz w:val="21"/>
          <w:szCs w:val="24"/>
          <w:lang w:val="en-US" w:eastAsia="zh-CN" w:bidi="ar-SA"/>
        </w:rPr>
      </w:pPr>
      <w:r>
        <w:rPr>
          <w:rFonts w:hint="default" w:ascii="Times New Roman" w:hAnsi="Times New Roman" w:cstheme="minorBidi"/>
          <w:kern w:val="2"/>
          <w:sz w:val="21"/>
          <w:szCs w:val="24"/>
          <w:lang w:val="en-US" w:eastAsia="zh-CN" w:bidi="ar-SA"/>
        </w:rPr>
        <w:t>[8] 宋梅, 周晓丽, 刘华. 社区护士抗生素安全用药认知及影响因素研究[J]. 护理管理杂志, 2015(4):2.</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0"/>
        <w:jc w:val="both"/>
        <w:textAlignment w:val="auto"/>
        <w:rPr>
          <w:rFonts w:hint="default" w:ascii="Times New Roman" w:hAnsi="Times New Roman" w:cstheme="minorBidi"/>
          <w:kern w:val="2"/>
          <w:sz w:val="21"/>
          <w:szCs w:val="24"/>
          <w:lang w:val="en-US" w:eastAsia="zh-CN" w:bidi="ar-SA"/>
        </w:rPr>
      </w:pPr>
      <w:r>
        <w:rPr>
          <w:rFonts w:hint="default" w:ascii="Times New Roman" w:hAnsi="Times New Roman" w:cstheme="minorBidi"/>
          <w:kern w:val="2"/>
          <w:sz w:val="21"/>
          <w:szCs w:val="24"/>
          <w:lang w:val="en-US" w:eastAsia="zh-CN" w:bidi="ar-SA"/>
        </w:rPr>
        <w:t>[9] 宋梅, 焦艳会, 黄黎. 城市外来务工人员抗生素安全用药认知状况与自我效能感的相关性研究[J]. 中华现代护理杂志, 2015(34):3.</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0"/>
        <w:jc w:val="both"/>
        <w:textAlignment w:val="auto"/>
        <w:rPr>
          <w:rFonts w:hint="default" w:ascii="Times New Roman" w:hAnsi="Times New Roman" w:cstheme="minorBidi"/>
          <w:kern w:val="2"/>
          <w:sz w:val="21"/>
          <w:szCs w:val="24"/>
          <w:lang w:val="en-US" w:eastAsia="zh-CN" w:bidi="ar-SA"/>
        </w:rPr>
      </w:pPr>
      <w:r>
        <w:rPr>
          <w:rFonts w:hint="default" w:ascii="Times New Roman" w:hAnsi="Times New Roman" w:cstheme="minorBidi"/>
          <w:kern w:val="2"/>
          <w:sz w:val="21"/>
          <w:szCs w:val="24"/>
          <w:lang w:val="en-US" w:eastAsia="zh-CN" w:bidi="ar-SA"/>
        </w:rPr>
        <w:t>[10] 刘伟玲, 柳鑫霞, 洪燕玲,等. 健康教育在呼吸内科住院患者抗生素安全用药认知中的作用[J]. 中医药管理杂志, 2020, 28(6):2.</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0"/>
        <w:jc w:val="both"/>
        <w:textAlignment w:val="auto"/>
        <w:rPr>
          <w:rFonts w:hint="default" w:ascii="Times New Roman" w:hAnsi="Times New Roman" w:cstheme="minorBidi"/>
          <w:kern w:val="2"/>
          <w:sz w:val="21"/>
          <w:szCs w:val="24"/>
          <w:lang w:val="en-US" w:eastAsia="zh-CN" w:bidi="ar-SA"/>
        </w:rPr>
      </w:pPr>
    </w:p>
    <w:sectPr>
      <w:footerReference r:id="rId3" w:type="default"/>
      <w:pgSz w:w="11906" w:h="16838"/>
      <w:pgMar w:top="1474" w:right="1587" w:bottom="1587" w:left="1474"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OGNlNzNhMWQyNzE0YjU0YWEyOTY0ZmY2MWMzMWQifQ=="/>
  </w:docVars>
  <w:rsids>
    <w:rsidRoot w:val="00000000"/>
    <w:rsid w:val="05995B57"/>
    <w:rsid w:val="09844A34"/>
    <w:rsid w:val="4A3C0E53"/>
    <w:rsid w:val="55AB7D6D"/>
    <w:rsid w:val="77202B13"/>
    <w:rsid w:val="7FB47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19"/>
      <w:szCs w:val="19"/>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WPSOffice手动目录 1"/>
    <w:uiPriority w:val="0"/>
    <w:pPr>
      <w:ind w:leftChars="0"/>
    </w:pPr>
    <w:rPr>
      <w:rFonts w:ascii="Times New Roman" w:hAnsi="Times New Roman" w:eastAsia="宋体" w:cs="Times New Roman"/>
      <w:sz w:val="20"/>
      <w:szCs w:val="20"/>
    </w:rPr>
  </w:style>
  <w:style w:type="paragraph" w:customStyle="1" w:styleId="8">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4233</Words>
  <Characters>4509</Characters>
  <Lines>0</Lines>
  <Paragraphs>0</Paragraphs>
  <TotalTime>0</TotalTime>
  <ScaleCrop>false</ScaleCrop>
  <LinksUpToDate>false</LinksUpToDate>
  <CharactersWithSpaces>4743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2021-04-30T07:48:00Z</dcterms:created>
  <dc:creator>Administrator</dc:creator>
  <cp:lastModifiedBy>讲你知</cp:lastModifiedBy>
  <dcterms:modified xsi:type="dcterms:W3CDTF">2022-08-15T02:23:48Z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03E6DEB3CB3948C6B37DDB6D88AD6F98</vt:lpwstr>
  </property>
</Properties>
</file>