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rPr>
          <w:sz w:val="28"/>
          <w:szCs w:val="28"/>
        </w:rPr>
      </w:pPr>
      <w:bookmarkStart w:id="0" w:name="_Toc24832"/>
      <w:bookmarkStart w:id="1" w:name="_Toc11274"/>
      <w:r>
        <w:drawing>
          <wp:anchor distT="0" distB="0" distL="114300" distR="114300" simplePos="0" relativeHeight="251659264" behindDoc="0" locked="0" layoutInCell="1" allowOverlap="1">
            <wp:simplePos x="0" y="0"/>
            <wp:positionH relativeFrom="column">
              <wp:posOffset>-24130</wp:posOffset>
            </wp:positionH>
            <wp:positionV relativeFrom="paragraph">
              <wp:posOffset>513715</wp:posOffset>
            </wp:positionV>
            <wp:extent cx="5702935" cy="1297940"/>
            <wp:effectExtent l="0" t="0" r="12065" b="12700"/>
            <wp:wrapTopAndBottom/>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02935" cy="1297940"/>
                    </a:xfrm>
                    <a:prstGeom prst="rect">
                      <a:avLst/>
                    </a:prstGeom>
                  </pic:spPr>
                </pic:pic>
              </a:graphicData>
            </a:graphic>
          </wp:anchor>
        </w:drawing>
      </w:r>
    </w:p>
    <w:p>
      <w:pPr>
        <w:snapToGrid w:val="0"/>
        <w:spacing w:line="520" w:lineRule="exact"/>
        <w:ind w:firstLine="600" w:firstLineChars="200"/>
        <w:rPr>
          <w:rFonts w:eastAsia="仿宋"/>
          <w:color w:val="FF0000"/>
          <w:sz w:val="30"/>
          <w:szCs w:val="30"/>
        </w:rPr>
      </w:pPr>
    </w:p>
    <w:p>
      <w:pPr>
        <w:snapToGrid w:val="0"/>
        <w:ind w:firstLine="313" w:firstLineChars="29"/>
        <w:jc w:val="center"/>
        <w:rPr>
          <w:rFonts w:eastAsia="华文行楷"/>
          <w:spacing w:val="60"/>
          <w:sz w:val="96"/>
          <w:szCs w:val="96"/>
        </w:rPr>
      </w:pPr>
      <w:r>
        <w:rPr>
          <w:rFonts w:eastAsia="华文行楷"/>
          <w:spacing w:val="60"/>
          <w:sz w:val="96"/>
          <w:szCs w:val="96"/>
        </w:rPr>
        <w:t>毕业论文</w:t>
      </w:r>
      <w:r>
        <w:rPr>
          <w:rFonts w:eastAsiaTheme="minorEastAsia"/>
          <w:spacing w:val="60"/>
          <w:sz w:val="96"/>
          <w:szCs w:val="96"/>
        </w:rPr>
        <w:t>(</w:t>
      </w:r>
      <w:r>
        <w:rPr>
          <w:rFonts w:eastAsia="华文行楷"/>
          <w:spacing w:val="60"/>
          <w:sz w:val="96"/>
          <w:szCs w:val="96"/>
        </w:rPr>
        <w:t>设计</w:t>
      </w:r>
      <w:r>
        <w:rPr>
          <w:rFonts w:eastAsiaTheme="minorEastAsia"/>
          <w:spacing w:val="60"/>
          <w:sz w:val="96"/>
          <w:szCs w:val="96"/>
        </w:rPr>
        <w:t>)</w:t>
      </w:r>
    </w:p>
    <w:p>
      <w:pPr>
        <w:snapToGrid w:val="0"/>
        <w:ind w:firstLine="156" w:firstLineChars="78"/>
        <w:rPr>
          <w:rFonts w:eastAsia="黑体"/>
          <w:sz w:val="20"/>
        </w:rPr>
      </w:pPr>
    </w:p>
    <w:p>
      <w:pPr>
        <w:snapToGrid w:val="0"/>
        <w:spacing w:line="840" w:lineRule="exact"/>
        <w:ind w:firstLine="1080" w:firstLineChars="300"/>
        <w:rPr>
          <w:rFonts w:hint="eastAsia" w:eastAsia="黑体"/>
          <w:sz w:val="36"/>
          <w:szCs w:val="36"/>
          <w:u w:val="single"/>
        </w:rPr>
      </w:pPr>
      <w:r>
        <w:rPr>
          <w:rFonts w:eastAsia="黑体"/>
          <w:sz w:val="36"/>
          <w:szCs w:val="36"/>
        </w:rPr>
        <w:t>题目：</w:t>
      </w:r>
      <w:r>
        <w:rPr>
          <w:rFonts w:eastAsia="黑体"/>
          <w:sz w:val="36"/>
          <w:szCs w:val="36"/>
          <w:u w:val="single"/>
        </w:rPr>
        <w:t xml:space="preserve"> </w:t>
      </w:r>
      <w:r>
        <w:rPr>
          <w:rFonts w:hint="eastAsia" w:eastAsia="黑体"/>
          <w:sz w:val="36"/>
          <w:szCs w:val="36"/>
          <w:u w:val="single"/>
        </w:rPr>
        <w:t>湛江市麻章区福民社区卫生环境治理研究</w:t>
      </w:r>
    </w:p>
    <w:p>
      <w:pPr>
        <w:snapToGrid w:val="0"/>
        <w:rPr>
          <w:rFonts w:eastAsia="黑体"/>
          <w:sz w:val="36"/>
          <w:szCs w:val="36"/>
        </w:rPr>
      </w:pPr>
    </w:p>
    <w:tbl>
      <w:tblPr>
        <w:tblStyle w:val="3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9"/>
        <w:gridCol w:w="425"/>
        <w:gridCol w:w="5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9" w:type="dxa"/>
          </w:tcPr>
          <w:p>
            <w:pPr>
              <w:snapToGrid w:val="0"/>
              <w:spacing w:line="700" w:lineRule="exact"/>
              <w:jc w:val="left"/>
              <w:rPr>
                <w:rFonts w:eastAsia="黑体"/>
                <w:sz w:val="36"/>
                <w:szCs w:val="36"/>
              </w:rPr>
            </w:pPr>
            <w:r>
              <w:rPr>
                <w:rFonts w:eastAsia="黑体"/>
                <w:sz w:val="36"/>
                <w:szCs w:val="36"/>
              </w:rPr>
              <w:t>分校（教学点）</w:t>
            </w:r>
          </w:p>
        </w:tc>
        <w:tc>
          <w:tcPr>
            <w:tcW w:w="425" w:type="dxa"/>
          </w:tcPr>
          <w:p>
            <w:pPr>
              <w:snapToGrid w:val="0"/>
              <w:spacing w:line="700" w:lineRule="exact"/>
              <w:ind w:right="180"/>
              <w:jc w:val="right"/>
              <w:rPr>
                <w:rFonts w:eastAsia="黑体"/>
                <w:sz w:val="36"/>
                <w:szCs w:val="36"/>
              </w:rPr>
            </w:pPr>
            <w:r>
              <w:rPr>
                <w:rFonts w:eastAsia="黑体"/>
                <w:sz w:val="36"/>
                <w:szCs w:val="36"/>
              </w:rPr>
              <w:t>：</w:t>
            </w:r>
          </w:p>
        </w:tc>
        <w:tc>
          <w:tcPr>
            <w:tcW w:w="5631" w:type="dxa"/>
          </w:tcPr>
          <w:p>
            <w:pPr>
              <w:snapToGrid w:val="0"/>
              <w:spacing w:line="700" w:lineRule="exact"/>
              <w:rPr>
                <w:rFonts w:eastAsia="黑体"/>
                <w:sz w:val="36"/>
                <w:szCs w:val="36"/>
                <w:u w:val="single"/>
              </w:rPr>
            </w:pPr>
            <w:r>
              <w:rPr>
                <w:rFonts w:eastAsia="黑体"/>
                <w:sz w:val="36"/>
                <w:szCs w:val="36"/>
                <w:u w:val="single"/>
              </w:rPr>
              <w:t xml:space="preserve">        </w:t>
            </w:r>
            <w:r>
              <w:rPr>
                <w:rFonts w:hint="eastAsia" w:eastAsia="黑体"/>
                <w:sz w:val="36"/>
                <w:szCs w:val="36"/>
                <w:u w:val="single"/>
                <w:lang w:val="en-US" w:eastAsia="zh-CN"/>
              </w:rPr>
              <w:t xml:space="preserve"> </w:t>
            </w:r>
            <w:r>
              <w:rPr>
                <w:rFonts w:hint="eastAsia" w:eastAsia="黑体"/>
                <w:sz w:val="36"/>
                <w:szCs w:val="36"/>
                <w:u w:val="single"/>
                <w:lang w:eastAsia="zh-CN"/>
              </w:rPr>
              <w:t>江门开放大学</w:t>
            </w:r>
            <w:r>
              <w:rPr>
                <w:rFonts w:eastAsia="黑体"/>
                <w:sz w:val="36"/>
                <w:szCs w:val="36"/>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9" w:type="dxa"/>
          </w:tcPr>
          <w:p>
            <w:pPr>
              <w:snapToGrid w:val="0"/>
              <w:spacing w:line="700" w:lineRule="exact"/>
              <w:jc w:val="distribute"/>
              <w:rPr>
                <w:rFonts w:eastAsia="黑体"/>
                <w:sz w:val="36"/>
                <w:szCs w:val="36"/>
              </w:rPr>
            </w:pPr>
            <w:r>
              <w:rPr>
                <w:rFonts w:eastAsia="黑体"/>
                <w:sz w:val="36"/>
                <w:szCs w:val="36"/>
              </w:rPr>
              <w:t>专  业</w:t>
            </w:r>
          </w:p>
        </w:tc>
        <w:tc>
          <w:tcPr>
            <w:tcW w:w="425" w:type="dxa"/>
          </w:tcPr>
          <w:p>
            <w:pPr>
              <w:snapToGrid w:val="0"/>
              <w:spacing w:line="700" w:lineRule="exact"/>
            </w:pPr>
            <w:r>
              <w:rPr>
                <w:rFonts w:eastAsia="黑体"/>
                <w:sz w:val="36"/>
                <w:szCs w:val="36"/>
              </w:rPr>
              <w:t>：</w:t>
            </w:r>
          </w:p>
        </w:tc>
        <w:tc>
          <w:tcPr>
            <w:tcW w:w="5631" w:type="dxa"/>
          </w:tcPr>
          <w:p>
            <w:pPr>
              <w:snapToGrid w:val="0"/>
              <w:spacing w:line="700" w:lineRule="exact"/>
              <w:rPr>
                <w:rFonts w:eastAsia="黑体"/>
                <w:sz w:val="36"/>
                <w:szCs w:val="36"/>
                <w:u w:val="single"/>
              </w:rPr>
            </w:pPr>
            <w:r>
              <w:rPr>
                <w:rFonts w:eastAsia="黑体"/>
                <w:sz w:val="36"/>
                <w:szCs w:val="36"/>
                <w:u w:val="single"/>
              </w:rPr>
              <w:t xml:space="preserve">         </w:t>
            </w:r>
            <w:r>
              <w:rPr>
                <w:rFonts w:hint="eastAsia" w:eastAsia="黑体"/>
                <w:sz w:val="36"/>
                <w:szCs w:val="36"/>
                <w:u w:val="single"/>
                <w:lang w:eastAsia="zh-CN"/>
              </w:rPr>
              <w:t>公务事务管理</w:t>
            </w:r>
            <w:r>
              <w:rPr>
                <w:rFonts w:eastAsia="黑体"/>
                <w:sz w:val="36"/>
                <w:szCs w:val="36"/>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9" w:type="dxa"/>
          </w:tcPr>
          <w:p>
            <w:pPr>
              <w:snapToGrid w:val="0"/>
              <w:spacing w:line="700" w:lineRule="exact"/>
              <w:jc w:val="distribute"/>
              <w:rPr>
                <w:rFonts w:eastAsia="黑体"/>
                <w:sz w:val="36"/>
                <w:szCs w:val="36"/>
              </w:rPr>
            </w:pPr>
            <w:r>
              <w:rPr>
                <w:rFonts w:eastAsia="黑体"/>
                <w:sz w:val="36"/>
                <w:szCs w:val="36"/>
              </w:rPr>
              <w:t>年级</w:t>
            </w:r>
          </w:p>
        </w:tc>
        <w:tc>
          <w:tcPr>
            <w:tcW w:w="425" w:type="dxa"/>
          </w:tcPr>
          <w:p>
            <w:pPr>
              <w:snapToGrid w:val="0"/>
              <w:spacing w:line="700" w:lineRule="exact"/>
            </w:pPr>
            <w:r>
              <w:rPr>
                <w:rFonts w:eastAsia="黑体"/>
                <w:sz w:val="36"/>
                <w:szCs w:val="36"/>
              </w:rPr>
              <w:t>：</w:t>
            </w:r>
          </w:p>
        </w:tc>
        <w:tc>
          <w:tcPr>
            <w:tcW w:w="5631" w:type="dxa"/>
          </w:tcPr>
          <w:p>
            <w:pPr>
              <w:snapToGrid w:val="0"/>
              <w:spacing w:line="700" w:lineRule="exact"/>
              <w:rPr>
                <w:rFonts w:eastAsia="黑体"/>
                <w:sz w:val="36"/>
                <w:szCs w:val="36"/>
                <w:u w:val="single"/>
              </w:rPr>
            </w:pPr>
            <w:r>
              <w:rPr>
                <w:rFonts w:eastAsia="黑体"/>
                <w:sz w:val="36"/>
                <w:szCs w:val="36"/>
                <w:u w:val="single"/>
              </w:rPr>
              <w:t xml:space="preserve">           </w:t>
            </w:r>
            <w:r>
              <w:rPr>
                <w:rFonts w:hint="eastAsia" w:eastAsia="黑体"/>
                <w:sz w:val="36"/>
                <w:szCs w:val="36"/>
                <w:u w:val="single"/>
                <w:lang w:val="en-US" w:eastAsia="zh-CN"/>
              </w:rPr>
              <w:t>2020春</w:t>
            </w:r>
            <w:r>
              <w:rPr>
                <w:rFonts w:eastAsia="黑体"/>
                <w:sz w:val="36"/>
                <w:szCs w:val="36"/>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9" w:type="dxa"/>
          </w:tcPr>
          <w:p>
            <w:pPr>
              <w:snapToGrid w:val="0"/>
              <w:spacing w:line="700" w:lineRule="exact"/>
              <w:jc w:val="distribute"/>
              <w:rPr>
                <w:rFonts w:eastAsia="黑体"/>
                <w:sz w:val="36"/>
                <w:szCs w:val="36"/>
              </w:rPr>
            </w:pPr>
            <w:r>
              <w:rPr>
                <w:rFonts w:eastAsia="黑体"/>
                <w:sz w:val="36"/>
                <w:szCs w:val="36"/>
              </w:rPr>
              <w:t>学号</w:t>
            </w:r>
          </w:p>
        </w:tc>
        <w:tc>
          <w:tcPr>
            <w:tcW w:w="425" w:type="dxa"/>
          </w:tcPr>
          <w:p>
            <w:pPr>
              <w:snapToGrid w:val="0"/>
              <w:spacing w:line="700" w:lineRule="exact"/>
            </w:pPr>
            <w:r>
              <w:rPr>
                <w:rFonts w:eastAsia="黑体"/>
                <w:sz w:val="36"/>
                <w:szCs w:val="36"/>
              </w:rPr>
              <w:t>：</w:t>
            </w:r>
          </w:p>
        </w:tc>
        <w:tc>
          <w:tcPr>
            <w:tcW w:w="5631" w:type="dxa"/>
          </w:tcPr>
          <w:p>
            <w:pPr>
              <w:snapToGrid w:val="0"/>
              <w:spacing w:line="700" w:lineRule="exact"/>
              <w:rPr>
                <w:rFonts w:eastAsia="黑体"/>
                <w:sz w:val="36"/>
                <w:szCs w:val="36"/>
                <w:u w:val="single"/>
              </w:rPr>
            </w:pPr>
            <w:r>
              <w:rPr>
                <w:rFonts w:eastAsia="黑体"/>
                <w:sz w:val="36"/>
                <w:szCs w:val="36"/>
                <w:u w:val="single"/>
              </w:rPr>
              <w:t xml:space="preserve">          </w:t>
            </w:r>
            <w:r>
              <w:rPr>
                <w:rFonts w:hint="eastAsia" w:eastAsia="黑体"/>
                <w:sz w:val="36"/>
                <w:szCs w:val="36"/>
                <w:u w:val="single"/>
              </w:rPr>
              <w:t>20170001400964</w:t>
            </w:r>
            <w:r>
              <w:rPr>
                <w:rFonts w:eastAsia="黑体"/>
                <w:sz w:val="36"/>
                <w:szCs w:val="36"/>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9" w:type="dxa"/>
          </w:tcPr>
          <w:p>
            <w:pPr>
              <w:snapToGrid w:val="0"/>
              <w:spacing w:line="700" w:lineRule="exact"/>
              <w:jc w:val="distribute"/>
              <w:rPr>
                <w:rFonts w:eastAsia="黑体"/>
                <w:sz w:val="36"/>
                <w:szCs w:val="36"/>
              </w:rPr>
            </w:pPr>
            <w:r>
              <w:rPr>
                <w:rFonts w:eastAsia="黑体"/>
                <w:sz w:val="36"/>
                <w:szCs w:val="36"/>
              </w:rPr>
              <w:t>姓名</w:t>
            </w:r>
          </w:p>
        </w:tc>
        <w:tc>
          <w:tcPr>
            <w:tcW w:w="425" w:type="dxa"/>
          </w:tcPr>
          <w:p>
            <w:pPr>
              <w:snapToGrid w:val="0"/>
              <w:spacing w:line="700" w:lineRule="exact"/>
            </w:pPr>
            <w:r>
              <w:rPr>
                <w:rFonts w:eastAsia="黑体"/>
                <w:sz w:val="36"/>
                <w:szCs w:val="36"/>
              </w:rPr>
              <w:t>：</w:t>
            </w:r>
          </w:p>
        </w:tc>
        <w:tc>
          <w:tcPr>
            <w:tcW w:w="5631" w:type="dxa"/>
          </w:tcPr>
          <w:p>
            <w:pPr>
              <w:snapToGrid w:val="0"/>
              <w:spacing w:line="700" w:lineRule="exact"/>
              <w:rPr>
                <w:rFonts w:eastAsia="黑体"/>
                <w:sz w:val="36"/>
                <w:szCs w:val="36"/>
                <w:u w:val="single"/>
              </w:rPr>
            </w:pPr>
            <w:r>
              <w:rPr>
                <w:rFonts w:eastAsia="黑体"/>
                <w:sz w:val="36"/>
                <w:szCs w:val="36"/>
                <w:u w:val="single"/>
              </w:rPr>
              <w:t xml:space="preserve"> </w:t>
            </w:r>
            <w:r>
              <w:rPr>
                <w:rFonts w:hint="eastAsia" w:eastAsia="黑体"/>
                <w:sz w:val="36"/>
                <w:szCs w:val="36"/>
                <w:u w:val="single"/>
                <w:lang w:val="en-US" w:eastAsia="zh-CN"/>
              </w:rPr>
              <w:t xml:space="preserve">          </w:t>
            </w:r>
            <w:bookmarkStart w:id="67" w:name="_GoBack"/>
            <w:r>
              <w:rPr>
                <w:rFonts w:hint="eastAsia" w:eastAsia="黑体"/>
                <w:sz w:val="36"/>
                <w:szCs w:val="36"/>
                <w:u w:val="single"/>
                <w:lang w:eastAsia="zh-CN"/>
              </w:rPr>
              <w:t>吴忠锐</w:t>
            </w:r>
            <w:bookmarkEnd w:id="67"/>
            <w:r>
              <w:rPr>
                <w:rFonts w:eastAsia="黑体"/>
                <w:sz w:val="36"/>
                <w:szCs w:val="36"/>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389" w:type="dxa"/>
          </w:tcPr>
          <w:p>
            <w:pPr>
              <w:snapToGrid w:val="0"/>
              <w:spacing w:line="700" w:lineRule="exact"/>
              <w:jc w:val="distribute"/>
              <w:rPr>
                <w:rFonts w:eastAsia="黑体"/>
                <w:sz w:val="36"/>
                <w:szCs w:val="36"/>
              </w:rPr>
            </w:pPr>
            <w:r>
              <w:rPr>
                <w:rFonts w:eastAsia="黑体"/>
                <w:sz w:val="36"/>
                <w:szCs w:val="36"/>
              </w:rPr>
              <w:t>指导教师</w:t>
            </w:r>
          </w:p>
        </w:tc>
        <w:tc>
          <w:tcPr>
            <w:tcW w:w="425" w:type="dxa"/>
          </w:tcPr>
          <w:p>
            <w:pPr>
              <w:snapToGrid w:val="0"/>
              <w:spacing w:line="700" w:lineRule="exact"/>
            </w:pPr>
            <w:r>
              <w:rPr>
                <w:rFonts w:eastAsia="黑体"/>
                <w:sz w:val="36"/>
                <w:szCs w:val="36"/>
              </w:rPr>
              <w:t>：</w:t>
            </w:r>
          </w:p>
        </w:tc>
        <w:tc>
          <w:tcPr>
            <w:tcW w:w="5631" w:type="dxa"/>
          </w:tcPr>
          <w:p>
            <w:pPr>
              <w:snapToGrid w:val="0"/>
              <w:spacing w:line="700" w:lineRule="exact"/>
              <w:rPr>
                <w:rFonts w:eastAsia="黑体"/>
                <w:sz w:val="36"/>
                <w:szCs w:val="36"/>
                <w:u w:val="single"/>
              </w:rPr>
            </w:pPr>
            <w:r>
              <w:rPr>
                <w:rFonts w:eastAsia="黑体"/>
                <w:sz w:val="36"/>
                <w:szCs w:val="36"/>
                <w:u w:val="single"/>
              </w:rPr>
              <w:t xml:space="preserve">           </w:t>
            </w:r>
            <w:r>
              <w:rPr>
                <w:rFonts w:hint="eastAsia" w:eastAsia="黑体"/>
                <w:sz w:val="36"/>
                <w:szCs w:val="36"/>
                <w:u w:val="single"/>
                <w:lang w:eastAsia="zh-CN"/>
              </w:rPr>
              <w:t>邓洁莹</w:t>
            </w:r>
            <w:r>
              <w:rPr>
                <w:rFonts w:eastAsia="黑体"/>
                <w:sz w:val="36"/>
                <w:szCs w:val="36"/>
                <w:u w:val="single"/>
              </w:rPr>
              <w:t xml:space="preserve">                 </w:t>
            </w:r>
          </w:p>
        </w:tc>
      </w:tr>
    </w:tbl>
    <w:p>
      <w:pPr>
        <w:spacing w:before="200" w:line="360" w:lineRule="exact"/>
        <w:ind w:firstLine="1414" w:firstLineChars="393"/>
        <w:rPr>
          <w:rFonts w:eastAsia="黑体"/>
          <w:sz w:val="36"/>
          <w:szCs w:val="36"/>
          <w:u w:val="single"/>
        </w:rPr>
      </w:pPr>
    </w:p>
    <w:p>
      <w:pPr>
        <w:pStyle w:val="64"/>
        <w:ind w:firstLine="2700" w:firstLineChars="750"/>
        <w:jc w:val="both"/>
        <w:rPr>
          <w:sz w:val="36"/>
          <w:szCs w:val="36"/>
        </w:rPr>
        <w:sectPr>
          <w:pgSz w:w="11907" w:h="16840"/>
          <w:pgMar w:top="1418" w:right="1361" w:bottom="1134" w:left="1361" w:header="907" w:footer="851" w:gutter="0"/>
          <w:pgNumType w:fmt="lowerRoman"/>
          <w:cols w:space="720" w:num="1"/>
          <w:docGrid w:type="lines" w:linePitch="312" w:charSpace="0"/>
        </w:sectPr>
      </w:pPr>
      <w:r>
        <w:rPr>
          <w:kern w:val="2"/>
          <w:sz w:val="36"/>
          <w:szCs w:val="36"/>
        </w:rPr>
        <w:t xml:space="preserve">      </w:t>
      </w:r>
      <w:r>
        <w:rPr>
          <w:rFonts w:hint="eastAsia"/>
          <w:kern w:val="2"/>
          <w:sz w:val="36"/>
          <w:szCs w:val="36"/>
        </w:rPr>
        <w:t>2023年</w:t>
      </w:r>
      <w:r>
        <w:rPr>
          <w:rFonts w:hint="eastAsia"/>
          <w:kern w:val="2"/>
          <w:sz w:val="36"/>
          <w:szCs w:val="36"/>
          <w:lang w:val="en-US" w:eastAsia="zh-CN"/>
        </w:rPr>
        <w:t>4</w:t>
      </w:r>
      <w:r>
        <w:rPr>
          <w:rFonts w:hint="eastAsia"/>
          <w:kern w:val="2"/>
          <w:sz w:val="36"/>
          <w:szCs w:val="36"/>
        </w:rPr>
        <w:t>月</w:t>
      </w:r>
      <w:r>
        <w:rPr>
          <w:rFonts w:hint="eastAsia"/>
          <w:kern w:val="2"/>
          <w:sz w:val="36"/>
          <w:szCs w:val="36"/>
          <w:lang w:val="en-US" w:eastAsia="zh-CN"/>
        </w:rPr>
        <w:t>5</w:t>
      </w:r>
      <w:r>
        <w:rPr>
          <w:rFonts w:hint="eastAsia"/>
          <w:kern w:val="2"/>
          <w:sz w:val="36"/>
          <w:szCs w:val="36"/>
        </w:rPr>
        <w:t>日</w:t>
      </w:r>
    </w:p>
    <w:p>
      <w:pPr>
        <w:spacing w:line="300" w:lineRule="auto"/>
        <w:jc w:val="center"/>
        <w:rPr>
          <w:rFonts w:eastAsia="黑体"/>
          <w:b/>
          <w:sz w:val="36"/>
          <w:szCs w:val="30"/>
        </w:rPr>
      </w:pPr>
      <w:r>
        <w:rPr>
          <w:rFonts w:eastAsia="黑体"/>
          <w:b/>
          <w:sz w:val="36"/>
          <w:szCs w:val="30"/>
        </w:rPr>
        <w:t>毕业论文（设计）诚信声明</w:t>
      </w:r>
    </w:p>
    <w:p>
      <w:pPr>
        <w:pStyle w:val="14"/>
        <w:spacing w:line="480" w:lineRule="auto"/>
        <w:ind w:left="480" w:firstLine="561"/>
        <w:rPr>
          <w:sz w:val="28"/>
          <w:szCs w:val="28"/>
        </w:rPr>
      </w:pPr>
      <w:r>
        <w:rPr>
          <w:sz w:val="28"/>
          <w:szCs w:val="28"/>
        </w:rPr>
        <w:t>本人所呈交的毕业论文（设计），是在指导教师指导下进行研究工作所取得的成果，所有数据、图片资料均真实可靠。除文中已经注明引用的内容外，本毕业论文（设计）的研究成果不包含任何他人已公开发表或者没有公开发表的作品或成果。对本论文（设计）所涉及的研究工作做出贡献的其他个人和集体，均已在文中以明确方式标明。本人完全意识到本声明的法律责任由本人承担。</w:t>
      </w:r>
    </w:p>
    <w:p>
      <w:pPr>
        <w:pStyle w:val="14"/>
        <w:wordWrap w:val="0"/>
        <w:spacing w:line="480" w:lineRule="auto"/>
        <w:ind w:left="0" w:leftChars="0"/>
        <w:jc w:val="right"/>
        <w:rPr>
          <w:sz w:val="28"/>
          <w:szCs w:val="28"/>
        </w:rPr>
      </w:pPr>
      <w:r>
        <w:rPr>
          <w:sz w:val="28"/>
          <w:szCs w:val="28"/>
        </w:rPr>
        <w:t>作者签名：</w:t>
      </w:r>
      <w:r>
        <w:rPr>
          <w:rFonts w:hint="eastAsia"/>
          <w:sz w:val="28"/>
          <w:szCs w:val="28"/>
          <w:lang w:eastAsia="zh-CN"/>
        </w:rPr>
        <w:t>吴忠锐</w:t>
      </w:r>
      <w:r>
        <w:rPr>
          <w:sz w:val="28"/>
          <w:szCs w:val="28"/>
        </w:rPr>
        <w:t xml:space="preserve">             日期：</w:t>
      </w:r>
      <w:r>
        <w:rPr>
          <w:rFonts w:hint="eastAsia"/>
          <w:sz w:val="28"/>
          <w:szCs w:val="28"/>
          <w:lang w:val="en-US" w:eastAsia="zh-CN"/>
        </w:rPr>
        <w:t>2023</w:t>
      </w:r>
      <w:r>
        <w:rPr>
          <w:sz w:val="28"/>
          <w:szCs w:val="28"/>
        </w:rPr>
        <w:t xml:space="preserve"> 年 </w:t>
      </w:r>
      <w:r>
        <w:rPr>
          <w:rFonts w:hint="eastAsia"/>
          <w:sz w:val="28"/>
          <w:szCs w:val="28"/>
          <w:lang w:val="en-US" w:eastAsia="zh-CN"/>
        </w:rPr>
        <w:t>2</w:t>
      </w:r>
      <w:r>
        <w:rPr>
          <w:sz w:val="28"/>
          <w:szCs w:val="28"/>
        </w:rPr>
        <w:t xml:space="preserve"> 月 </w:t>
      </w:r>
      <w:r>
        <w:rPr>
          <w:rFonts w:hint="eastAsia"/>
          <w:sz w:val="28"/>
          <w:szCs w:val="28"/>
          <w:lang w:val="en-US" w:eastAsia="zh-CN"/>
        </w:rPr>
        <w:t>20</w:t>
      </w:r>
      <w:r>
        <w:rPr>
          <w:sz w:val="28"/>
          <w:szCs w:val="28"/>
        </w:rPr>
        <w:t xml:space="preserve"> 日</w:t>
      </w:r>
    </w:p>
    <w:p>
      <w:pPr>
        <w:pStyle w:val="14"/>
        <w:spacing w:line="480" w:lineRule="auto"/>
        <w:ind w:left="0" w:leftChars="0"/>
        <w:jc w:val="center"/>
        <w:rPr>
          <w:sz w:val="28"/>
          <w:szCs w:val="28"/>
        </w:rPr>
      </w:pPr>
    </w:p>
    <w:p>
      <w:pPr>
        <w:spacing w:line="300" w:lineRule="auto"/>
        <w:jc w:val="center"/>
        <w:rPr>
          <w:rFonts w:eastAsia="黑体"/>
          <w:b/>
          <w:sz w:val="36"/>
          <w:szCs w:val="30"/>
        </w:rPr>
      </w:pPr>
      <w:r>
        <w:rPr>
          <w:rFonts w:eastAsia="黑体"/>
          <w:b/>
          <w:sz w:val="36"/>
          <w:szCs w:val="30"/>
        </w:rPr>
        <w:t>毕业论文（设计）版权使用授权声明</w:t>
      </w:r>
    </w:p>
    <w:p>
      <w:pPr>
        <w:pStyle w:val="14"/>
        <w:spacing w:line="480" w:lineRule="auto"/>
        <w:ind w:left="480" w:firstLine="560" w:firstLineChars="200"/>
        <w:rPr>
          <w:sz w:val="28"/>
          <w:szCs w:val="28"/>
        </w:rPr>
      </w:pPr>
      <w:r>
        <w:rPr>
          <w:sz w:val="28"/>
          <w:szCs w:val="28"/>
        </w:rPr>
        <w:t>本人完全了解广东开放大学关于收集、保存、使用毕业论文（设计）的规定，同意如下各项内容：按照学校要求提交论文（设计）的印刷本和电子版本</w:t>
      </w:r>
      <w:r>
        <w:rPr>
          <w:rFonts w:hint="eastAsia"/>
          <w:sz w:val="28"/>
          <w:szCs w:val="28"/>
          <w:lang w:eastAsia="zh-CN"/>
        </w:rPr>
        <w:t>，</w:t>
      </w:r>
      <w:r>
        <w:rPr>
          <w:sz w:val="28"/>
          <w:szCs w:val="28"/>
        </w:rPr>
        <w:t>学校有权保存论文（设计）的印刷本和电子版，并采用影印、缩印、扫描、数字化或其它手段保存论文</w:t>
      </w:r>
      <w:r>
        <w:rPr>
          <w:rFonts w:hint="eastAsia"/>
          <w:sz w:val="28"/>
          <w:szCs w:val="28"/>
          <w:lang w:eastAsia="zh-CN"/>
        </w:rPr>
        <w:t>，</w:t>
      </w:r>
      <w:r>
        <w:rPr>
          <w:sz w:val="28"/>
          <w:szCs w:val="28"/>
        </w:rPr>
        <w:t>学校有权提供目录检索以及提供本毕业论文（设计）全文或者部分的阅览服务，以及出版毕业论文（设计）</w:t>
      </w:r>
      <w:r>
        <w:rPr>
          <w:rFonts w:hint="eastAsia"/>
          <w:sz w:val="28"/>
          <w:szCs w:val="28"/>
          <w:lang w:eastAsia="zh-CN"/>
        </w:rPr>
        <w:t>，</w:t>
      </w:r>
      <w:r>
        <w:rPr>
          <w:sz w:val="28"/>
          <w:szCs w:val="28"/>
        </w:rPr>
        <w:t>学校有权按有关规定向国家有关部门或者机构送交论文的复印件和电子版</w:t>
      </w:r>
      <w:r>
        <w:rPr>
          <w:rFonts w:hint="eastAsia"/>
          <w:sz w:val="28"/>
          <w:szCs w:val="28"/>
          <w:lang w:eastAsia="zh-CN"/>
        </w:rPr>
        <w:t>，</w:t>
      </w:r>
      <w:r>
        <w:rPr>
          <w:sz w:val="28"/>
          <w:szCs w:val="28"/>
        </w:rPr>
        <w:t>在不以赢利为目的的前提下，学校可以适当复制论文的部分或全部内容用于学术活动。</w:t>
      </w:r>
    </w:p>
    <w:p>
      <w:pPr>
        <w:pStyle w:val="14"/>
        <w:wordWrap w:val="0"/>
        <w:spacing w:line="480" w:lineRule="auto"/>
        <w:ind w:left="0" w:leftChars="0"/>
        <w:jc w:val="right"/>
      </w:pPr>
      <w:r>
        <w:rPr>
          <w:sz w:val="28"/>
          <w:szCs w:val="28"/>
        </w:rPr>
        <w:t>作者签名：</w:t>
      </w:r>
      <w:r>
        <w:rPr>
          <w:rFonts w:hint="eastAsia"/>
          <w:sz w:val="28"/>
          <w:szCs w:val="28"/>
          <w:lang w:eastAsia="zh-CN"/>
        </w:rPr>
        <w:t>吴忠锐</w:t>
      </w:r>
      <w:r>
        <w:rPr>
          <w:sz w:val="28"/>
          <w:szCs w:val="28"/>
        </w:rPr>
        <w:t xml:space="preserve">             日期：</w:t>
      </w:r>
      <w:r>
        <w:rPr>
          <w:rFonts w:hint="eastAsia"/>
          <w:sz w:val="28"/>
          <w:szCs w:val="28"/>
          <w:lang w:val="en-US" w:eastAsia="zh-CN"/>
        </w:rPr>
        <w:t>2023</w:t>
      </w:r>
      <w:r>
        <w:rPr>
          <w:sz w:val="28"/>
          <w:szCs w:val="28"/>
        </w:rPr>
        <w:t xml:space="preserve"> 年 </w:t>
      </w:r>
      <w:r>
        <w:rPr>
          <w:rFonts w:hint="eastAsia"/>
          <w:sz w:val="28"/>
          <w:szCs w:val="28"/>
          <w:lang w:val="en-US" w:eastAsia="zh-CN"/>
        </w:rPr>
        <w:t>2</w:t>
      </w:r>
      <w:r>
        <w:rPr>
          <w:sz w:val="28"/>
          <w:szCs w:val="28"/>
        </w:rPr>
        <w:t xml:space="preserve"> 月 </w:t>
      </w:r>
      <w:r>
        <w:rPr>
          <w:rFonts w:hint="eastAsia"/>
          <w:sz w:val="28"/>
          <w:szCs w:val="28"/>
          <w:lang w:val="en-US" w:eastAsia="zh-CN"/>
        </w:rPr>
        <w:t>20</w:t>
      </w:r>
      <w:r>
        <w:rPr>
          <w:sz w:val="28"/>
          <w:szCs w:val="28"/>
        </w:rPr>
        <w:t xml:space="preserve"> 日</w:t>
      </w:r>
    </w:p>
    <w:p>
      <w:pPr>
        <w:pStyle w:val="68"/>
      </w:pPr>
      <w:bookmarkStart w:id="2" w:name="_Toc15747"/>
      <w:bookmarkStart w:id="3" w:name="_Toc23995"/>
      <w:bookmarkStart w:id="4" w:name="_Toc31204"/>
      <w:r>
        <w:t>摘  要</w:t>
      </w:r>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szCs w:val="24"/>
        </w:rPr>
      </w:pPr>
      <w:r>
        <w:rPr>
          <w:rFonts w:hint="eastAsia"/>
        </w:rPr>
        <w:t>在当前的新发展时期，我国政府和党中央制定了一套关于城市社区治理的方针和纲领，并取得了一定成果。然而，在一些社区中，由于社区党组织、基层政府、街道办事处、社区居民委员会等多元参与方之间的责任划分不明确，政策实施不及时，导致城市社区治理中权利、义务和责任不明确，给城市社区治理带来一系列负面影响，并在一定程度上制约了城市社区治理的效果。因此，本文采用文献综述、</w:t>
      </w:r>
      <w:r>
        <w:rPr>
          <w:rFonts w:hint="eastAsia"/>
          <w:lang w:eastAsia="zh-CN"/>
        </w:rPr>
        <w:t>实地考察</w:t>
      </w:r>
      <w:r>
        <w:rPr>
          <w:rFonts w:hint="eastAsia"/>
        </w:rPr>
        <w:t>等方法，对SF社区的社会现状进行了调查，从选择典型的评价对象等几个角度，探讨了如何提高SF社区治理水平、提升城市社区治理的问题。这对于SF社区和国内其他相似的城市社区都具有一定的借鉴作用</w:t>
      </w:r>
      <w:r>
        <w:rPr>
          <w:rFonts w:hint="eastAsia"/>
          <w:color w:val="auto"/>
        </w:rPr>
        <w:t xml:space="preserve">。 </w:t>
      </w:r>
    </w:p>
    <w:p>
      <w:pPr>
        <w:ind w:firstLine="560" w:firstLineChars="200"/>
        <w:rPr>
          <w:sz w:val="28"/>
          <w:szCs w:val="28"/>
        </w:rPr>
      </w:pPr>
      <w:r>
        <w:rPr>
          <w:sz w:val="28"/>
          <w:szCs w:val="28"/>
        </w:rPr>
        <w:t>关键词：</w:t>
      </w:r>
      <w:r>
        <w:rPr>
          <w:rFonts w:hint="eastAsia"/>
          <w:sz w:val="28"/>
          <w:szCs w:val="28"/>
          <w:lang w:eastAsia="zh-CN"/>
        </w:rPr>
        <w:t>新时代，城市社区，社区治理</w:t>
      </w:r>
    </w:p>
    <w:p>
      <w:pPr>
        <w:rPr>
          <w:szCs w:val="24"/>
        </w:rPr>
      </w:pPr>
      <w:r>
        <w:rPr>
          <w:szCs w:val="24"/>
        </w:rPr>
        <w:br w:type="page"/>
      </w:r>
    </w:p>
    <w:p>
      <w:pPr>
        <w:pStyle w:val="2"/>
        <w:ind w:firstLine="420"/>
        <w:rPr>
          <w:rFonts w:ascii="Times New Roman" w:hAnsi="Times New Roman"/>
        </w:rPr>
      </w:pPr>
    </w:p>
    <w:sdt>
      <w:sdtPr>
        <w:rPr>
          <w:rFonts w:eastAsia="宋体"/>
          <w:b w:val="0"/>
          <w:kern w:val="2"/>
          <w:sz w:val="24"/>
        </w:rPr>
        <w:id w:val="147470097"/>
        <w:docPartObj>
          <w:docPartGallery w:val="Table of Contents"/>
          <w:docPartUnique/>
        </w:docPartObj>
      </w:sdtPr>
      <w:sdtEndPr>
        <w:rPr>
          <w:rFonts w:eastAsia="宋体"/>
          <w:b w:val="0"/>
          <w:kern w:val="2"/>
          <w:sz w:val="24"/>
        </w:rPr>
      </w:sdtEndPr>
      <w:sdtContent>
        <w:p>
          <w:pPr>
            <w:pStyle w:val="3"/>
            <w:spacing w:line="360" w:lineRule="auto"/>
          </w:pPr>
          <w:bookmarkStart w:id="5" w:name="_Toc5525"/>
          <w:bookmarkStart w:id="6" w:name="_Toc28782"/>
          <w:bookmarkStart w:id="7" w:name="_Toc14544"/>
          <w:r>
            <w:t>目 录</w:t>
          </w:r>
          <w:bookmarkEnd w:id="5"/>
          <w:bookmarkEnd w:id="6"/>
          <w:bookmarkEnd w:id="7"/>
        </w:p>
        <w:p>
          <w:pPr>
            <w:pStyle w:val="23"/>
            <w:tabs>
              <w:tab w:val="right" w:leader="dot" w:pos="8958"/>
              <w:tab w:val="clear" w:pos="9060"/>
            </w:tabs>
            <w:rPr>
              <w:rFonts w:hint="eastAsia" w:ascii="黑体" w:hAnsi="黑体" w:eastAsia="黑体" w:cs="黑体"/>
            </w:rPr>
          </w:pPr>
          <w:r>
            <w:fldChar w:fldCharType="begin"/>
          </w:r>
          <w:r>
            <w:instrText xml:space="preserve">TOC \o "1-3" \h \u </w:instrText>
          </w:r>
          <w:r>
            <w:fldChar w:fldCharType="separate"/>
          </w:r>
          <w:r>
            <w:rPr>
              <w:rFonts w:hint="eastAsia" w:ascii="黑体" w:hAnsi="黑体" w:eastAsia="黑体" w:cs="黑体"/>
            </w:rPr>
            <w:fldChar w:fldCharType="begin"/>
          </w:r>
          <w:r>
            <w:rPr>
              <w:rFonts w:hint="eastAsia" w:ascii="黑体" w:hAnsi="黑体" w:eastAsia="黑体" w:cs="黑体"/>
            </w:rPr>
            <w:instrText xml:space="preserve"> HYPERLINK \l _Toc15747 </w:instrText>
          </w:r>
          <w:r>
            <w:rPr>
              <w:rFonts w:hint="eastAsia" w:ascii="黑体" w:hAnsi="黑体" w:eastAsia="黑体" w:cs="黑体"/>
            </w:rPr>
            <w:fldChar w:fldCharType="separate"/>
          </w:r>
          <w:r>
            <w:rPr>
              <w:rFonts w:hint="eastAsia" w:ascii="黑体" w:hAnsi="黑体" w:eastAsia="黑体" w:cs="黑体"/>
            </w:rPr>
            <w:t>摘  要</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_Toc15747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rPr>
            <w:fldChar w:fldCharType="end"/>
          </w:r>
        </w:p>
        <w:p>
          <w:pPr>
            <w:pStyle w:val="23"/>
            <w:tabs>
              <w:tab w:val="right" w:leader="dot" w:pos="8958"/>
              <w:tab w:val="clear" w:pos="906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_Toc28782 </w:instrText>
          </w:r>
          <w:r>
            <w:rPr>
              <w:rFonts w:hint="eastAsia" w:ascii="黑体" w:hAnsi="黑体" w:eastAsia="黑体" w:cs="黑体"/>
            </w:rPr>
            <w:fldChar w:fldCharType="separate"/>
          </w:r>
          <w:r>
            <w:rPr>
              <w:rFonts w:hint="eastAsia" w:ascii="黑体" w:hAnsi="黑体" w:eastAsia="黑体" w:cs="黑体"/>
            </w:rPr>
            <w:t>目 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_Toc28782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r>
            <w:rPr>
              <w:rFonts w:hint="eastAsia" w:ascii="黑体" w:hAnsi="黑体" w:eastAsia="黑体" w:cs="黑体"/>
            </w:rPr>
            <w:fldChar w:fldCharType="end"/>
          </w:r>
        </w:p>
        <w:p>
          <w:pPr>
            <w:pStyle w:val="23"/>
            <w:tabs>
              <w:tab w:val="right" w:leader="dot" w:pos="8958"/>
              <w:tab w:val="clear" w:pos="906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_Toc26964 </w:instrText>
          </w:r>
          <w:r>
            <w:rPr>
              <w:rFonts w:hint="eastAsia" w:ascii="黑体" w:hAnsi="黑体" w:eastAsia="黑体" w:cs="黑体"/>
            </w:rPr>
            <w:fldChar w:fldCharType="separate"/>
          </w:r>
          <w:r>
            <w:rPr>
              <w:rFonts w:hint="eastAsia" w:ascii="黑体" w:hAnsi="黑体" w:eastAsia="黑体" w:cs="黑体"/>
              <w:lang w:eastAsia="zh-CN"/>
            </w:rPr>
            <w:t>一、引言</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_Toc26964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rPr>
            <w:fldChar w:fldCharType="end"/>
          </w:r>
        </w:p>
        <w:p>
          <w:pPr>
            <w:pStyle w:val="28"/>
            <w:tabs>
              <w:tab w:val="right" w:leader="dot" w:pos="8958"/>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_Toc23007 </w:instrText>
          </w:r>
          <w:r>
            <w:rPr>
              <w:rFonts w:hint="eastAsia" w:ascii="黑体" w:hAnsi="黑体" w:eastAsia="黑体" w:cs="黑体"/>
            </w:rPr>
            <w:fldChar w:fldCharType="separate"/>
          </w:r>
          <w:r>
            <w:rPr>
              <w:rFonts w:hint="eastAsia" w:ascii="黑体" w:hAnsi="黑体" w:eastAsia="黑体" w:cs="黑体"/>
              <w:lang w:val="en-US" w:eastAsia="zh-CN"/>
            </w:rPr>
            <w:t>（一）</w:t>
          </w:r>
          <w:r>
            <w:rPr>
              <w:rFonts w:hint="eastAsia" w:ascii="黑体" w:hAnsi="黑体" w:eastAsia="黑体" w:cs="黑体"/>
            </w:rPr>
            <w:t>研究背景</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_Toc23007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rPr>
            <w:fldChar w:fldCharType="end"/>
          </w:r>
        </w:p>
        <w:p>
          <w:pPr>
            <w:pStyle w:val="28"/>
            <w:tabs>
              <w:tab w:val="right" w:leader="dot" w:pos="8958"/>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_Toc1527 </w:instrText>
          </w:r>
          <w:r>
            <w:rPr>
              <w:rFonts w:hint="eastAsia" w:ascii="黑体" w:hAnsi="黑体" w:eastAsia="黑体" w:cs="黑体"/>
            </w:rPr>
            <w:fldChar w:fldCharType="separate"/>
          </w:r>
          <w:r>
            <w:rPr>
              <w:rFonts w:hint="eastAsia" w:ascii="黑体" w:hAnsi="黑体" w:eastAsia="黑体" w:cs="黑体"/>
              <w:lang w:val="en-US" w:eastAsia="zh-CN"/>
            </w:rPr>
            <w:t>（二）</w:t>
          </w:r>
          <w:r>
            <w:rPr>
              <w:rFonts w:hint="eastAsia" w:ascii="黑体" w:hAnsi="黑体" w:eastAsia="黑体" w:cs="黑体"/>
            </w:rPr>
            <w:t>研究意义</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_Toc1527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rPr>
            <w:fldChar w:fldCharType="end"/>
          </w:r>
        </w:p>
        <w:p>
          <w:pPr>
            <w:pStyle w:val="28"/>
            <w:tabs>
              <w:tab w:val="right" w:leader="dot" w:pos="8958"/>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_Toc6709 </w:instrText>
          </w:r>
          <w:r>
            <w:rPr>
              <w:rFonts w:hint="eastAsia" w:ascii="黑体" w:hAnsi="黑体" w:eastAsia="黑体" w:cs="黑体"/>
            </w:rPr>
            <w:fldChar w:fldCharType="separate"/>
          </w:r>
          <w:r>
            <w:rPr>
              <w:rFonts w:hint="eastAsia" w:ascii="黑体" w:hAnsi="黑体" w:eastAsia="黑体" w:cs="黑体"/>
              <w:lang w:val="en-US" w:eastAsia="zh-CN"/>
            </w:rPr>
            <w:t>（三）国内外研究现状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_Toc6709 \h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r>
            <w:rPr>
              <w:rFonts w:hint="eastAsia" w:ascii="黑体" w:hAnsi="黑体" w:eastAsia="黑体" w:cs="黑体"/>
            </w:rPr>
            <w:fldChar w:fldCharType="end"/>
          </w:r>
        </w:p>
        <w:p>
          <w:pPr>
            <w:pStyle w:val="28"/>
            <w:tabs>
              <w:tab w:val="right" w:leader="dot" w:pos="8958"/>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_Toc7898 </w:instrText>
          </w:r>
          <w:r>
            <w:rPr>
              <w:rFonts w:hint="eastAsia" w:ascii="黑体" w:hAnsi="黑体" w:eastAsia="黑体" w:cs="黑体"/>
            </w:rPr>
            <w:fldChar w:fldCharType="separate"/>
          </w:r>
          <w:r>
            <w:rPr>
              <w:rFonts w:hint="eastAsia" w:ascii="黑体" w:hAnsi="黑体" w:eastAsia="黑体" w:cs="黑体"/>
              <w:lang w:val="en-US" w:eastAsia="zh-CN"/>
            </w:rPr>
            <w:t>（四）研究方法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_Toc7898 \h </w:instrText>
          </w:r>
          <w:r>
            <w:rPr>
              <w:rFonts w:hint="eastAsia" w:ascii="黑体" w:hAnsi="黑体" w:eastAsia="黑体" w:cs="黑体"/>
            </w:rPr>
            <w:fldChar w:fldCharType="separate"/>
          </w:r>
          <w:r>
            <w:rPr>
              <w:rFonts w:hint="eastAsia" w:ascii="黑体" w:hAnsi="黑体" w:eastAsia="黑体" w:cs="黑体"/>
            </w:rPr>
            <w:t>2</w:t>
          </w:r>
          <w:r>
            <w:rPr>
              <w:rFonts w:hint="eastAsia" w:ascii="黑体" w:hAnsi="黑体" w:eastAsia="黑体" w:cs="黑体"/>
            </w:rPr>
            <w:fldChar w:fldCharType="end"/>
          </w:r>
          <w:r>
            <w:rPr>
              <w:rFonts w:hint="eastAsia" w:ascii="黑体" w:hAnsi="黑体" w:eastAsia="黑体" w:cs="黑体"/>
            </w:rPr>
            <w:fldChar w:fldCharType="end"/>
          </w:r>
        </w:p>
        <w:p>
          <w:pPr>
            <w:pStyle w:val="23"/>
            <w:tabs>
              <w:tab w:val="right" w:leader="dot" w:pos="8958"/>
              <w:tab w:val="clear" w:pos="906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_Toc27649 </w:instrText>
          </w:r>
          <w:r>
            <w:rPr>
              <w:rFonts w:hint="eastAsia" w:ascii="黑体" w:hAnsi="黑体" w:eastAsia="黑体" w:cs="黑体"/>
            </w:rPr>
            <w:fldChar w:fldCharType="separate"/>
          </w:r>
          <w:r>
            <w:rPr>
              <w:rFonts w:hint="eastAsia" w:ascii="黑体" w:hAnsi="黑体" w:eastAsia="黑体" w:cs="黑体"/>
              <w:lang w:val="en-US" w:eastAsia="zh-CN"/>
            </w:rPr>
            <w:t>二、 基本概念界定</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_Toc27649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rPr>
            <w:fldChar w:fldCharType="end"/>
          </w:r>
        </w:p>
        <w:p>
          <w:pPr>
            <w:pStyle w:val="28"/>
            <w:tabs>
              <w:tab w:val="right" w:leader="dot" w:pos="8958"/>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_Toc21945 </w:instrText>
          </w:r>
          <w:r>
            <w:rPr>
              <w:rFonts w:hint="eastAsia" w:ascii="黑体" w:hAnsi="黑体" w:eastAsia="黑体" w:cs="黑体"/>
            </w:rPr>
            <w:fldChar w:fldCharType="separate"/>
          </w:r>
          <w:r>
            <w:rPr>
              <w:rFonts w:hint="eastAsia" w:ascii="黑体" w:hAnsi="黑体" w:eastAsia="黑体" w:cs="黑体"/>
              <w:lang w:val="en-US" w:eastAsia="zh-CN"/>
            </w:rPr>
            <w:t>（一）新时代</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_Toc21945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rPr>
            <w:fldChar w:fldCharType="end"/>
          </w:r>
        </w:p>
        <w:p>
          <w:pPr>
            <w:pStyle w:val="28"/>
            <w:tabs>
              <w:tab w:val="right" w:leader="dot" w:pos="8958"/>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_Toc15800 </w:instrText>
          </w:r>
          <w:r>
            <w:rPr>
              <w:rFonts w:hint="eastAsia" w:ascii="黑体" w:hAnsi="黑体" w:eastAsia="黑体" w:cs="黑体"/>
            </w:rPr>
            <w:fldChar w:fldCharType="separate"/>
          </w:r>
          <w:r>
            <w:rPr>
              <w:rFonts w:hint="eastAsia" w:ascii="黑体" w:hAnsi="黑体" w:eastAsia="黑体" w:cs="黑体"/>
              <w:lang w:val="en-US" w:eastAsia="zh-CN"/>
            </w:rPr>
            <w:t>（二）城市社区治理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_Toc15800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rPr>
            <w:fldChar w:fldCharType="end"/>
          </w:r>
        </w:p>
        <w:p>
          <w:pPr>
            <w:pStyle w:val="23"/>
            <w:tabs>
              <w:tab w:val="right" w:leader="dot" w:pos="8958"/>
              <w:tab w:val="clear" w:pos="906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_Toc3132 </w:instrText>
          </w:r>
          <w:r>
            <w:rPr>
              <w:rFonts w:hint="eastAsia" w:ascii="黑体" w:hAnsi="黑体" w:eastAsia="黑体" w:cs="黑体"/>
            </w:rPr>
            <w:fldChar w:fldCharType="separate"/>
          </w:r>
          <w:r>
            <w:rPr>
              <w:rFonts w:hint="eastAsia" w:ascii="黑体" w:hAnsi="黑体" w:eastAsia="黑体" w:cs="黑体"/>
              <w:lang w:val="en-US" w:eastAsia="zh-CN"/>
            </w:rPr>
            <w:t>三、 SF社区城市社区治理成效</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_Toc3132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rPr>
            <w:fldChar w:fldCharType="end"/>
          </w:r>
        </w:p>
        <w:p>
          <w:pPr>
            <w:pStyle w:val="28"/>
            <w:tabs>
              <w:tab w:val="right" w:leader="dot" w:pos="8958"/>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_Toc27482 </w:instrText>
          </w:r>
          <w:r>
            <w:rPr>
              <w:rFonts w:hint="eastAsia" w:ascii="黑体" w:hAnsi="黑体" w:eastAsia="黑体" w:cs="黑体"/>
            </w:rPr>
            <w:fldChar w:fldCharType="separate"/>
          </w:r>
          <w:r>
            <w:rPr>
              <w:rFonts w:hint="eastAsia" w:ascii="黑体" w:hAnsi="黑体" w:eastAsia="黑体" w:cs="黑体"/>
              <w:lang w:val="en-US" w:eastAsia="zh-CN"/>
            </w:rPr>
            <w:t>（一）人才队伍建设促治理能力提高</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_Toc27482 \h </w:instrText>
          </w:r>
          <w:r>
            <w:rPr>
              <w:rFonts w:hint="eastAsia" w:ascii="黑体" w:hAnsi="黑体" w:eastAsia="黑体" w:cs="黑体"/>
            </w:rPr>
            <w:fldChar w:fldCharType="separate"/>
          </w:r>
          <w:r>
            <w:rPr>
              <w:rFonts w:hint="eastAsia" w:ascii="黑体" w:hAnsi="黑体" w:eastAsia="黑体" w:cs="黑体"/>
            </w:rPr>
            <w:t>4</w:t>
          </w:r>
          <w:r>
            <w:rPr>
              <w:rFonts w:hint="eastAsia" w:ascii="黑体" w:hAnsi="黑体" w:eastAsia="黑体" w:cs="黑体"/>
            </w:rPr>
            <w:fldChar w:fldCharType="end"/>
          </w:r>
          <w:r>
            <w:rPr>
              <w:rFonts w:hint="eastAsia" w:ascii="黑体" w:hAnsi="黑体" w:eastAsia="黑体" w:cs="黑体"/>
            </w:rPr>
            <w:fldChar w:fldCharType="end"/>
          </w:r>
        </w:p>
        <w:p>
          <w:pPr>
            <w:pStyle w:val="28"/>
            <w:tabs>
              <w:tab w:val="right" w:leader="dot" w:pos="8958"/>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_Toc4975 </w:instrText>
          </w:r>
          <w:r>
            <w:rPr>
              <w:rFonts w:hint="eastAsia" w:ascii="黑体" w:hAnsi="黑体" w:eastAsia="黑体" w:cs="黑体"/>
            </w:rPr>
            <w:fldChar w:fldCharType="separate"/>
          </w:r>
          <w:r>
            <w:rPr>
              <w:rFonts w:hint="eastAsia" w:ascii="黑体" w:hAnsi="黑体" w:eastAsia="黑体" w:cs="黑体"/>
              <w:lang w:val="en-US" w:eastAsia="zh-CN"/>
            </w:rPr>
            <w:t>（二）共驻共建共治促社区资源共享</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_Toc4975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rPr>
            <w:fldChar w:fldCharType="end"/>
          </w:r>
        </w:p>
        <w:p>
          <w:pPr>
            <w:pStyle w:val="28"/>
            <w:tabs>
              <w:tab w:val="right" w:leader="dot" w:pos="8958"/>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_Toc6800 </w:instrText>
          </w:r>
          <w:r>
            <w:rPr>
              <w:rFonts w:hint="eastAsia" w:ascii="黑体" w:hAnsi="黑体" w:eastAsia="黑体" w:cs="黑体"/>
            </w:rPr>
            <w:fldChar w:fldCharType="separate"/>
          </w:r>
          <w:r>
            <w:rPr>
              <w:rFonts w:hint="eastAsia" w:ascii="黑体" w:hAnsi="黑体" w:eastAsia="黑体" w:cs="黑体"/>
              <w:lang w:val="en-US" w:eastAsia="zh-CN"/>
            </w:rPr>
            <w:t>（三）精细化管理促社区环境改善</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_Toc6800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rPr>
            <w:fldChar w:fldCharType="end"/>
          </w:r>
        </w:p>
        <w:p>
          <w:pPr>
            <w:pStyle w:val="23"/>
            <w:tabs>
              <w:tab w:val="right" w:leader="dot" w:pos="8958"/>
              <w:tab w:val="clear" w:pos="906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_Toc22528 </w:instrText>
          </w:r>
          <w:r>
            <w:rPr>
              <w:rFonts w:hint="eastAsia" w:ascii="黑体" w:hAnsi="黑体" w:eastAsia="黑体" w:cs="黑体"/>
            </w:rPr>
            <w:fldChar w:fldCharType="separate"/>
          </w:r>
          <w:r>
            <w:rPr>
              <w:rFonts w:hint="eastAsia" w:ascii="黑体" w:hAnsi="黑体" w:eastAsia="黑体" w:cs="黑体"/>
              <w:lang w:val="en-US" w:eastAsia="zh-CN"/>
            </w:rPr>
            <w:t>四、SF社区</w:t>
          </w:r>
          <w:r>
            <w:rPr>
              <w:rFonts w:hint="eastAsia" w:ascii="黑体" w:hAnsi="黑体" w:eastAsia="黑体" w:cs="黑体"/>
            </w:rPr>
            <w:t>城市社区治理存在的问题</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_Toc22528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rPr>
            <w:fldChar w:fldCharType="end"/>
          </w:r>
        </w:p>
        <w:p>
          <w:pPr>
            <w:pStyle w:val="28"/>
            <w:tabs>
              <w:tab w:val="right" w:leader="dot" w:pos="8958"/>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_Toc29803 </w:instrText>
          </w:r>
          <w:r>
            <w:rPr>
              <w:rFonts w:hint="eastAsia" w:ascii="黑体" w:hAnsi="黑体" w:eastAsia="黑体" w:cs="黑体"/>
            </w:rPr>
            <w:fldChar w:fldCharType="separate"/>
          </w:r>
          <w:r>
            <w:rPr>
              <w:rFonts w:hint="eastAsia" w:ascii="黑体" w:hAnsi="黑体" w:eastAsia="黑体" w:cs="黑体"/>
              <w:lang w:val="en-US" w:eastAsia="zh-CN"/>
            </w:rPr>
            <w:t>（一）</w:t>
          </w:r>
          <w:r>
            <w:rPr>
              <w:rFonts w:hint="eastAsia" w:ascii="黑体" w:hAnsi="黑体" w:eastAsia="黑体" w:cs="黑体"/>
            </w:rPr>
            <w:t>居委会</w:t>
          </w:r>
          <w:r>
            <w:rPr>
              <w:rFonts w:hint="eastAsia" w:ascii="黑体" w:hAnsi="黑体" w:eastAsia="黑体" w:cs="黑体"/>
              <w:lang w:eastAsia="zh-CN"/>
            </w:rPr>
            <w:t>在</w:t>
          </w:r>
          <w:r>
            <w:rPr>
              <w:rFonts w:hint="eastAsia" w:ascii="黑体" w:hAnsi="黑体" w:eastAsia="黑体" w:cs="黑体"/>
            </w:rPr>
            <w:t>工作中行政事务占比过大</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_Toc29803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rPr>
            <w:fldChar w:fldCharType="end"/>
          </w:r>
          <w:r>
            <w:rPr>
              <w:rFonts w:hint="eastAsia" w:ascii="黑体" w:hAnsi="黑体" w:eastAsia="黑体" w:cs="黑体"/>
            </w:rPr>
            <w:fldChar w:fldCharType="end"/>
          </w:r>
        </w:p>
        <w:p>
          <w:pPr>
            <w:pStyle w:val="28"/>
            <w:tabs>
              <w:tab w:val="right" w:leader="dot" w:pos="8958"/>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_Toc31078 </w:instrText>
          </w:r>
          <w:r>
            <w:rPr>
              <w:rFonts w:hint="eastAsia" w:ascii="黑体" w:hAnsi="黑体" w:eastAsia="黑体" w:cs="黑体"/>
            </w:rPr>
            <w:fldChar w:fldCharType="separate"/>
          </w:r>
          <w:r>
            <w:rPr>
              <w:rFonts w:hint="eastAsia" w:ascii="黑体" w:hAnsi="黑体" w:eastAsia="黑体" w:cs="黑体"/>
              <w:lang w:val="en-US" w:eastAsia="zh-CN"/>
            </w:rPr>
            <w:t>（二）</w:t>
          </w:r>
          <w:r>
            <w:rPr>
              <w:rFonts w:hint="eastAsia" w:ascii="黑体" w:hAnsi="黑体" w:eastAsia="黑体" w:cs="黑体"/>
            </w:rPr>
            <w:t>多元主体协同治理效果不佳</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_Toc31078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rPr>
            <w:fldChar w:fldCharType="end"/>
          </w:r>
          <w:r>
            <w:rPr>
              <w:rFonts w:hint="eastAsia" w:ascii="黑体" w:hAnsi="黑体" w:eastAsia="黑体" w:cs="黑体"/>
            </w:rPr>
            <w:fldChar w:fldCharType="end"/>
          </w:r>
        </w:p>
        <w:p>
          <w:pPr>
            <w:pStyle w:val="28"/>
            <w:tabs>
              <w:tab w:val="right" w:leader="dot" w:pos="8958"/>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_Toc4716 </w:instrText>
          </w:r>
          <w:r>
            <w:rPr>
              <w:rFonts w:hint="eastAsia" w:ascii="黑体" w:hAnsi="黑体" w:eastAsia="黑体" w:cs="黑体"/>
            </w:rPr>
            <w:fldChar w:fldCharType="separate"/>
          </w:r>
          <w:r>
            <w:rPr>
              <w:rFonts w:hint="eastAsia" w:ascii="黑体" w:hAnsi="黑体" w:eastAsia="黑体" w:cs="黑体"/>
              <w:lang w:val="en-US" w:eastAsia="zh-CN"/>
            </w:rPr>
            <w:t>（三）</w:t>
          </w:r>
          <w:r>
            <w:rPr>
              <w:rFonts w:hint="eastAsia" w:ascii="黑体" w:hAnsi="黑体" w:eastAsia="黑体" w:cs="黑体"/>
              <w:lang w:eastAsia="zh-CN"/>
            </w:rPr>
            <w:t>“互联网+”社区未能发挥应有的作用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_Toc4716 \h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rPr>
            <w:fldChar w:fldCharType="end"/>
          </w:r>
          <w:r>
            <w:rPr>
              <w:rFonts w:hint="eastAsia" w:ascii="黑体" w:hAnsi="黑体" w:eastAsia="黑体" w:cs="黑体"/>
            </w:rPr>
            <w:fldChar w:fldCharType="end"/>
          </w:r>
        </w:p>
        <w:p>
          <w:pPr>
            <w:pStyle w:val="28"/>
            <w:tabs>
              <w:tab w:val="right" w:leader="dot" w:pos="8958"/>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_Toc27495 </w:instrText>
          </w:r>
          <w:r>
            <w:rPr>
              <w:rFonts w:hint="eastAsia" w:ascii="黑体" w:hAnsi="黑体" w:eastAsia="黑体" w:cs="黑体"/>
            </w:rPr>
            <w:fldChar w:fldCharType="separate"/>
          </w:r>
          <w:r>
            <w:rPr>
              <w:rFonts w:hint="eastAsia" w:ascii="黑体" w:hAnsi="黑体" w:eastAsia="黑体" w:cs="黑体"/>
              <w:lang w:val="en-US" w:eastAsia="zh-CN"/>
            </w:rPr>
            <w:t>（四）</w:t>
          </w:r>
          <w:r>
            <w:rPr>
              <w:rFonts w:hint="eastAsia" w:ascii="黑体" w:hAnsi="黑体" w:eastAsia="黑体" w:cs="黑体"/>
            </w:rPr>
            <w:t>考核评价不全面</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_Toc27495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rPr>
            <w:fldChar w:fldCharType="end"/>
          </w:r>
        </w:p>
        <w:p>
          <w:pPr>
            <w:pStyle w:val="23"/>
            <w:tabs>
              <w:tab w:val="right" w:leader="dot" w:pos="8958"/>
              <w:tab w:val="clear" w:pos="906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_Toc24703 </w:instrText>
          </w:r>
          <w:r>
            <w:rPr>
              <w:rFonts w:hint="eastAsia" w:ascii="黑体" w:hAnsi="黑体" w:eastAsia="黑体" w:cs="黑体"/>
            </w:rPr>
            <w:fldChar w:fldCharType="separate"/>
          </w:r>
          <w:r>
            <w:rPr>
              <w:rFonts w:hint="eastAsia" w:ascii="黑体" w:hAnsi="黑体" w:eastAsia="黑体" w:cs="黑体"/>
              <w:lang w:val="en-US" w:eastAsia="zh-CN"/>
            </w:rPr>
            <w:t>五、 SF社区</w:t>
          </w:r>
          <w:r>
            <w:rPr>
              <w:rFonts w:hint="eastAsia" w:ascii="黑体" w:hAnsi="黑体" w:eastAsia="黑体" w:cs="黑体"/>
            </w:rPr>
            <w:t>城市社区治理存在问题的成因</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_Toc24703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rPr>
            <w:fldChar w:fldCharType="end"/>
          </w:r>
        </w:p>
        <w:p>
          <w:pPr>
            <w:pStyle w:val="28"/>
            <w:tabs>
              <w:tab w:val="right" w:leader="dot" w:pos="8958"/>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_Toc31887 </w:instrText>
          </w:r>
          <w:r>
            <w:rPr>
              <w:rFonts w:hint="eastAsia" w:ascii="黑体" w:hAnsi="黑体" w:eastAsia="黑体" w:cs="黑体"/>
            </w:rPr>
            <w:fldChar w:fldCharType="separate"/>
          </w:r>
          <w:r>
            <w:rPr>
              <w:rFonts w:hint="eastAsia" w:ascii="黑体" w:hAnsi="黑体" w:eastAsia="黑体" w:cs="黑体"/>
              <w:lang w:val="en-US" w:eastAsia="zh-CN"/>
            </w:rPr>
            <w:t>（一）</w:t>
          </w:r>
          <w:r>
            <w:rPr>
              <w:rFonts w:hint="eastAsia" w:ascii="黑体" w:hAnsi="黑体" w:eastAsia="黑体" w:cs="黑体"/>
            </w:rPr>
            <w:t>城市社区居委会职能定位不准确</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_Toc31887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rPr>
            <w:fldChar w:fldCharType="end"/>
          </w:r>
        </w:p>
        <w:p>
          <w:pPr>
            <w:pStyle w:val="28"/>
            <w:tabs>
              <w:tab w:val="right" w:leader="dot" w:pos="8958"/>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_Toc1031 </w:instrText>
          </w:r>
          <w:r>
            <w:rPr>
              <w:rFonts w:hint="eastAsia" w:ascii="黑体" w:hAnsi="黑体" w:eastAsia="黑体" w:cs="黑体"/>
            </w:rPr>
            <w:fldChar w:fldCharType="separate"/>
          </w:r>
          <w:r>
            <w:rPr>
              <w:rFonts w:hint="eastAsia" w:ascii="黑体" w:hAnsi="黑体" w:eastAsia="黑体" w:cs="黑体"/>
              <w:lang w:val="en-US" w:eastAsia="zh-CN"/>
            </w:rPr>
            <w:t>（二）</w:t>
          </w:r>
          <w:r>
            <w:rPr>
              <w:rFonts w:hint="eastAsia" w:ascii="黑体" w:hAnsi="黑体" w:eastAsia="黑体" w:cs="黑体"/>
            </w:rPr>
            <w:t>治理主体多元参与机制缺乏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_Toc1031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rPr>
            <w:fldChar w:fldCharType="end"/>
          </w:r>
        </w:p>
        <w:p>
          <w:pPr>
            <w:pStyle w:val="28"/>
            <w:tabs>
              <w:tab w:val="right" w:leader="dot" w:pos="8958"/>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_Toc12693 </w:instrText>
          </w:r>
          <w:r>
            <w:rPr>
              <w:rFonts w:hint="eastAsia" w:ascii="黑体" w:hAnsi="黑体" w:eastAsia="黑体" w:cs="黑体"/>
            </w:rPr>
            <w:fldChar w:fldCharType="separate"/>
          </w:r>
          <w:r>
            <w:rPr>
              <w:rFonts w:hint="eastAsia" w:ascii="黑体" w:hAnsi="黑体" w:eastAsia="黑体" w:cs="黑体"/>
              <w:lang w:val="en-US" w:eastAsia="zh-CN"/>
            </w:rPr>
            <w:t>（三）</w:t>
          </w:r>
          <w:r>
            <w:rPr>
              <w:rFonts w:hint="eastAsia" w:ascii="黑体" w:hAnsi="黑体" w:eastAsia="黑体" w:cs="黑体"/>
              <w:lang w:eastAsia="zh-CN"/>
            </w:rPr>
            <w:t>资金、人才短缺，“智慧社区”建设的基础设施不健全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_Toc12693 \h </w:instrText>
          </w:r>
          <w:r>
            <w:rPr>
              <w:rFonts w:hint="eastAsia" w:ascii="黑体" w:hAnsi="黑体" w:eastAsia="黑体" w:cs="黑体"/>
            </w:rPr>
            <w:fldChar w:fldCharType="separate"/>
          </w:r>
          <w:r>
            <w:rPr>
              <w:rFonts w:hint="eastAsia" w:ascii="黑体" w:hAnsi="黑体" w:eastAsia="黑体" w:cs="黑体"/>
            </w:rPr>
            <w:t>8</w:t>
          </w:r>
          <w:r>
            <w:rPr>
              <w:rFonts w:hint="eastAsia" w:ascii="黑体" w:hAnsi="黑体" w:eastAsia="黑体" w:cs="黑体"/>
            </w:rPr>
            <w:fldChar w:fldCharType="end"/>
          </w:r>
          <w:r>
            <w:rPr>
              <w:rFonts w:hint="eastAsia" w:ascii="黑体" w:hAnsi="黑体" w:eastAsia="黑体" w:cs="黑体"/>
            </w:rPr>
            <w:fldChar w:fldCharType="end"/>
          </w:r>
        </w:p>
        <w:p>
          <w:pPr>
            <w:pStyle w:val="28"/>
            <w:tabs>
              <w:tab w:val="right" w:leader="dot" w:pos="8958"/>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_Toc6203 </w:instrText>
          </w:r>
          <w:r>
            <w:rPr>
              <w:rFonts w:hint="eastAsia" w:ascii="黑体" w:hAnsi="黑体" w:eastAsia="黑体" w:cs="黑体"/>
            </w:rPr>
            <w:fldChar w:fldCharType="separate"/>
          </w:r>
          <w:r>
            <w:rPr>
              <w:rFonts w:hint="eastAsia" w:ascii="黑体" w:hAnsi="黑体" w:eastAsia="黑体" w:cs="黑体"/>
              <w:lang w:val="en-US" w:eastAsia="zh-CN"/>
            </w:rPr>
            <w:t>（四）</w:t>
          </w:r>
          <w:r>
            <w:rPr>
              <w:rFonts w:hint="eastAsia" w:ascii="黑体" w:hAnsi="黑体" w:eastAsia="黑体" w:cs="黑体"/>
            </w:rPr>
            <w:t>考核评价</w:t>
          </w:r>
          <w:r>
            <w:rPr>
              <w:rFonts w:hint="eastAsia" w:ascii="黑体" w:hAnsi="黑体" w:eastAsia="黑体" w:cs="黑体"/>
              <w:lang w:eastAsia="zh-CN"/>
            </w:rPr>
            <w:t>主体片面</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_Toc6203 \h </w:instrText>
          </w:r>
          <w:r>
            <w:rPr>
              <w:rFonts w:hint="eastAsia" w:ascii="黑体" w:hAnsi="黑体" w:eastAsia="黑体" w:cs="黑体"/>
            </w:rPr>
            <w:fldChar w:fldCharType="separate"/>
          </w:r>
          <w:r>
            <w:rPr>
              <w:rFonts w:hint="eastAsia" w:ascii="黑体" w:hAnsi="黑体" w:eastAsia="黑体" w:cs="黑体"/>
            </w:rPr>
            <w:t>9</w:t>
          </w:r>
          <w:r>
            <w:rPr>
              <w:rFonts w:hint="eastAsia" w:ascii="黑体" w:hAnsi="黑体" w:eastAsia="黑体" w:cs="黑体"/>
            </w:rPr>
            <w:fldChar w:fldCharType="end"/>
          </w:r>
          <w:r>
            <w:rPr>
              <w:rFonts w:hint="eastAsia" w:ascii="黑体" w:hAnsi="黑体" w:eastAsia="黑体" w:cs="黑体"/>
            </w:rPr>
            <w:fldChar w:fldCharType="end"/>
          </w:r>
        </w:p>
        <w:p>
          <w:pPr>
            <w:pStyle w:val="23"/>
            <w:tabs>
              <w:tab w:val="right" w:leader="dot" w:pos="8958"/>
              <w:tab w:val="clear" w:pos="906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_Toc9416 </w:instrText>
          </w:r>
          <w:r>
            <w:rPr>
              <w:rFonts w:hint="eastAsia" w:ascii="黑体" w:hAnsi="黑体" w:eastAsia="黑体" w:cs="黑体"/>
            </w:rPr>
            <w:fldChar w:fldCharType="separate"/>
          </w:r>
          <w:r>
            <w:rPr>
              <w:rFonts w:hint="eastAsia" w:ascii="黑体" w:hAnsi="黑体" w:eastAsia="黑体" w:cs="黑体"/>
              <w:lang w:val="en-US" w:eastAsia="zh-CN"/>
            </w:rPr>
            <w:t>六、SF社区</w:t>
          </w:r>
          <w:r>
            <w:rPr>
              <w:rFonts w:hint="eastAsia" w:ascii="黑体" w:hAnsi="黑体" w:eastAsia="黑体" w:cs="黑体"/>
              <w:lang w:eastAsia="zh-CN"/>
            </w:rPr>
            <w:t>城市社区治理完善对策</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_Toc9416 \h </w:instrText>
          </w:r>
          <w:r>
            <w:rPr>
              <w:rFonts w:hint="eastAsia" w:ascii="黑体" w:hAnsi="黑体" w:eastAsia="黑体" w:cs="黑体"/>
            </w:rPr>
            <w:fldChar w:fldCharType="separate"/>
          </w:r>
          <w:r>
            <w:rPr>
              <w:rFonts w:hint="eastAsia" w:ascii="黑体" w:hAnsi="黑体" w:eastAsia="黑体" w:cs="黑体"/>
            </w:rPr>
            <w:t>9</w:t>
          </w:r>
          <w:r>
            <w:rPr>
              <w:rFonts w:hint="eastAsia" w:ascii="黑体" w:hAnsi="黑体" w:eastAsia="黑体" w:cs="黑体"/>
            </w:rPr>
            <w:fldChar w:fldCharType="end"/>
          </w:r>
          <w:r>
            <w:rPr>
              <w:rFonts w:hint="eastAsia" w:ascii="黑体" w:hAnsi="黑体" w:eastAsia="黑体" w:cs="黑体"/>
            </w:rPr>
            <w:fldChar w:fldCharType="end"/>
          </w:r>
        </w:p>
        <w:p>
          <w:pPr>
            <w:pStyle w:val="28"/>
            <w:tabs>
              <w:tab w:val="right" w:leader="dot" w:pos="8958"/>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_Toc21079 </w:instrText>
          </w:r>
          <w:r>
            <w:rPr>
              <w:rFonts w:hint="eastAsia" w:ascii="黑体" w:hAnsi="黑体" w:eastAsia="黑体" w:cs="黑体"/>
            </w:rPr>
            <w:fldChar w:fldCharType="separate"/>
          </w:r>
          <w:r>
            <w:rPr>
              <w:rFonts w:hint="eastAsia" w:ascii="黑体" w:hAnsi="黑体" w:eastAsia="黑体" w:cs="黑体"/>
              <w:lang w:val="en-US" w:eastAsia="zh-CN"/>
            </w:rPr>
            <w:t>（一）</w:t>
          </w:r>
          <w:r>
            <w:rPr>
              <w:rFonts w:hint="eastAsia" w:ascii="黑体" w:hAnsi="黑体" w:eastAsia="黑体" w:cs="黑体"/>
            </w:rPr>
            <w:t>切实转变街道办职能</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_Toc21079 \h </w:instrText>
          </w:r>
          <w:r>
            <w:rPr>
              <w:rFonts w:hint="eastAsia" w:ascii="黑体" w:hAnsi="黑体" w:eastAsia="黑体" w:cs="黑体"/>
            </w:rPr>
            <w:fldChar w:fldCharType="separate"/>
          </w:r>
          <w:r>
            <w:rPr>
              <w:rFonts w:hint="eastAsia" w:ascii="黑体" w:hAnsi="黑体" w:eastAsia="黑体" w:cs="黑体"/>
            </w:rPr>
            <w:t>9</w:t>
          </w:r>
          <w:r>
            <w:rPr>
              <w:rFonts w:hint="eastAsia" w:ascii="黑体" w:hAnsi="黑体" w:eastAsia="黑体" w:cs="黑体"/>
            </w:rPr>
            <w:fldChar w:fldCharType="end"/>
          </w:r>
          <w:r>
            <w:rPr>
              <w:rFonts w:hint="eastAsia" w:ascii="黑体" w:hAnsi="黑体" w:eastAsia="黑体" w:cs="黑体"/>
            </w:rPr>
            <w:fldChar w:fldCharType="end"/>
          </w:r>
        </w:p>
        <w:p>
          <w:pPr>
            <w:pStyle w:val="28"/>
            <w:tabs>
              <w:tab w:val="right" w:leader="dot" w:pos="8958"/>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_Toc20979 </w:instrText>
          </w:r>
          <w:r>
            <w:rPr>
              <w:rFonts w:hint="eastAsia" w:ascii="黑体" w:hAnsi="黑体" w:eastAsia="黑体" w:cs="黑体"/>
            </w:rPr>
            <w:fldChar w:fldCharType="separate"/>
          </w:r>
          <w:r>
            <w:rPr>
              <w:rFonts w:hint="eastAsia" w:ascii="黑体" w:hAnsi="黑体" w:eastAsia="黑体" w:cs="黑体"/>
              <w:lang w:val="en-US" w:eastAsia="zh-CN"/>
            </w:rPr>
            <w:t>（二）</w:t>
          </w:r>
          <w:r>
            <w:rPr>
              <w:rFonts w:hint="eastAsia" w:ascii="黑体" w:hAnsi="黑体" w:eastAsia="黑体" w:cs="黑体"/>
              <w:lang w:eastAsia="zh-CN"/>
            </w:rPr>
            <w:t>健全</w:t>
          </w:r>
          <w:r>
            <w:rPr>
              <w:rFonts w:hint="eastAsia" w:ascii="黑体" w:hAnsi="黑体" w:eastAsia="黑体" w:cs="黑体"/>
            </w:rPr>
            <w:t>治理主体多元参与机制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_Toc20979 \h </w:instrText>
          </w:r>
          <w:r>
            <w:rPr>
              <w:rFonts w:hint="eastAsia" w:ascii="黑体" w:hAnsi="黑体" w:eastAsia="黑体" w:cs="黑体"/>
            </w:rPr>
            <w:fldChar w:fldCharType="separate"/>
          </w:r>
          <w:r>
            <w:rPr>
              <w:rFonts w:hint="eastAsia" w:ascii="黑体" w:hAnsi="黑体" w:eastAsia="黑体" w:cs="黑体"/>
            </w:rPr>
            <w:t>10</w:t>
          </w:r>
          <w:r>
            <w:rPr>
              <w:rFonts w:hint="eastAsia" w:ascii="黑体" w:hAnsi="黑体" w:eastAsia="黑体" w:cs="黑体"/>
            </w:rPr>
            <w:fldChar w:fldCharType="end"/>
          </w:r>
          <w:r>
            <w:rPr>
              <w:rFonts w:hint="eastAsia" w:ascii="黑体" w:hAnsi="黑体" w:eastAsia="黑体" w:cs="黑体"/>
            </w:rPr>
            <w:fldChar w:fldCharType="end"/>
          </w:r>
        </w:p>
        <w:p>
          <w:pPr>
            <w:pStyle w:val="28"/>
            <w:tabs>
              <w:tab w:val="right" w:leader="dot" w:pos="8958"/>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_Toc29813 </w:instrText>
          </w:r>
          <w:r>
            <w:rPr>
              <w:rFonts w:hint="eastAsia" w:ascii="黑体" w:hAnsi="黑体" w:eastAsia="黑体" w:cs="黑体"/>
            </w:rPr>
            <w:fldChar w:fldCharType="separate"/>
          </w:r>
          <w:r>
            <w:rPr>
              <w:rFonts w:hint="eastAsia" w:ascii="黑体" w:hAnsi="黑体" w:eastAsia="黑体" w:cs="黑体"/>
              <w:lang w:val="en-US" w:eastAsia="zh-CN"/>
            </w:rPr>
            <w:t>（三）</w:t>
          </w:r>
          <w:r>
            <w:rPr>
              <w:rFonts w:hint="eastAsia" w:ascii="黑体" w:hAnsi="黑体" w:eastAsia="黑体" w:cs="黑体"/>
            </w:rPr>
            <w:t>加大对信息化建设的支撑力度</w:t>
          </w:r>
          <w:r>
            <w:rPr>
              <w:rFonts w:hint="eastAsia" w:ascii="黑体" w:hAnsi="黑体" w:eastAsia="黑体" w:cs="黑体"/>
              <w:lang w:eastAsia="zh-CN"/>
            </w:rPr>
            <w:t>，</w:t>
          </w:r>
          <w:r>
            <w:rPr>
              <w:rFonts w:hint="eastAsia" w:ascii="黑体" w:hAnsi="黑体" w:eastAsia="黑体" w:cs="黑体"/>
            </w:rPr>
            <w:t>发挥信息化在社区治理中的作用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_Toc29813 \h </w:instrText>
          </w:r>
          <w:r>
            <w:rPr>
              <w:rFonts w:hint="eastAsia" w:ascii="黑体" w:hAnsi="黑体" w:eastAsia="黑体" w:cs="黑体"/>
            </w:rPr>
            <w:fldChar w:fldCharType="separate"/>
          </w:r>
          <w:r>
            <w:rPr>
              <w:rFonts w:hint="eastAsia" w:ascii="黑体" w:hAnsi="黑体" w:eastAsia="黑体" w:cs="黑体"/>
            </w:rPr>
            <w:t>11</w:t>
          </w:r>
          <w:r>
            <w:rPr>
              <w:rFonts w:hint="eastAsia" w:ascii="黑体" w:hAnsi="黑体" w:eastAsia="黑体" w:cs="黑体"/>
            </w:rPr>
            <w:fldChar w:fldCharType="end"/>
          </w:r>
          <w:r>
            <w:rPr>
              <w:rFonts w:hint="eastAsia" w:ascii="黑体" w:hAnsi="黑体" w:eastAsia="黑体" w:cs="黑体"/>
            </w:rPr>
            <w:fldChar w:fldCharType="end"/>
          </w:r>
        </w:p>
        <w:p>
          <w:pPr>
            <w:pStyle w:val="28"/>
            <w:tabs>
              <w:tab w:val="right" w:leader="dot" w:pos="8958"/>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_Toc14941 </w:instrText>
          </w:r>
          <w:r>
            <w:rPr>
              <w:rFonts w:hint="eastAsia" w:ascii="黑体" w:hAnsi="黑体" w:eastAsia="黑体" w:cs="黑体"/>
            </w:rPr>
            <w:fldChar w:fldCharType="separate"/>
          </w:r>
          <w:r>
            <w:rPr>
              <w:rFonts w:hint="eastAsia" w:ascii="黑体" w:hAnsi="黑体" w:eastAsia="黑体" w:cs="黑体"/>
              <w:lang w:val="en-US" w:eastAsia="zh-CN"/>
            </w:rPr>
            <w:t>（四）</w:t>
          </w:r>
          <w:r>
            <w:rPr>
              <w:rFonts w:hint="eastAsia" w:ascii="黑体" w:hAnsi="黑体" w:eastAsia="黑体" w:cs="黑体"/>
            </w:rPr>
            <w:t>选取具有代表性的评价主体</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_Toc14941 \h </w:instrText>
          </w:r>
          <w:r>
            <w:rPr>
              <w:rFonts w:hint="eastAsia" w:ascii="黑体" w:hAnsi="黑体" w:eastAsia="黑体" w:cs="黑体"/>
            </w:rPr>
            <w:fldChar w:fldCharType="separate"/>
          </w:r>
          <w:r>
            <w:rPr>
              <w:rFonts w:hint="eastAsia" w:ascii="黑体" w:hAnsi="黑体" w:eastAsia="黑体" w:cs="黑体"/>
            </w:rPr>
            <w:t>11</w:t>
          </w:r>
          <w:r>
            <w:rPr>
              <w:rFonts w:hint="eastAsia" w:ascii="黑体" w:hAnsi="黑体" w:eastAsia="黑体" w:cs="黑体"/>
            </w:rPr>
            <w:fldChar w:fldCharType="end"/>
          </w:r>
          <w:r>
            <w:rPr>
              <w:rFonts w:hint="eastAsia" w:ascii="黑体" w:hAnsi="黑体" w:eastAsia="黑体" w:cs="黑体"/>
            </w:rPr>
            <w:fldChar w:fldCharType="end"/>
          </w:r>
        </w:p>
        <w:p>
          <w:pPr>
            <w:pStyle w:val="23"/>
            <w:tabs>
              <w:tab w:val="right" w:leader="dot" w:pos="8958"/>
              <w:tab w:val="clear" w:pos="906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_Toc27656 </w:instrText>
          </w:r>
          <w:r>
            <w:rPr>
              <w:rFonts w:hint="eastAsia" w:ascii="黑体" w:hAnsi="黑体" w:eastAsia="黑体" w:cs="黑体"/>
            </w:rPr>
            <w:fldChar w:fldCharType="separate"/>
          </w:r>
          <w:r>
            <w:rPr>
              <w:rFonts w:hint="eastAsia" w:ascii="黑体" w:hAnsi="黑体" w:eastAsia="黑体" w:cs="黑体"/>
              <w:lang w:eastAsia="zh-CN"/>
            </w:rPr>
            <w:t>结语</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_Toc27656 \h </w:instrText>
          </w:r>
          <w:r>
            <w:rPr>
              <w:rFonts w:hint="eastAsia" w:ascii="黑体" w:hAnsi="黑体" w:eastAsia="黑体" w:cs="黑体"/>
            </w:rPr>
            <w:fldChar w:fldCharType="separate"/>
          </w:r>
          <w:r>
            <w:rPr>
              <w:rFonts w:hint="eastAsia" w:ascii="黑体" w:hAnsi="黑体" w:eastAsia="黑体" w:cs="黑体"/>
            </w:rPr>
            <w:t>13</w:t>
          </w:r>
          <w:r>
            <w:rPr>
              <w:rFonts w:hint="eastAsia" w:ascii="黑体" w:hAnsi="黑体" w:eastAsia="黑体" w:cs="黑体"/>
            </w:rPr>
            <w:fldChar w:fldCharType="end"/>
          </w:r>
          <w:r>
            <w:rPr>
              <w:rFonts w:hint="eastAsia" w:ascii="黑体" w:hAnsi="黑体" w:eastAsia="黑体" w:cs="黑体"/>
            </w:rPr>
            <w:fldChar w:fldCharType="end"/>
          </w:r>
        </w:p>
        <w:p>
          <w:pPr>
            <w:pStyle w:val="23"/>
            <w:tabs>
              <w:tab w:val="right" w:leader="dot" w:pos="8958"/>
              <w:tab w:val="clear" w:pos="906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_Toc27090 </w:instrText>
          </w:r>
          <w:r>
            <w:rPr>
              <w:rFonts w:hint="eastAsia" w:ascii="黑体" w:hAnsi="黑体" w:eastAsia="黑体" w:cs="黑体"/>
            </w:rPr>
            <w:fldChar w:fldCharType="separate"/>
          </w:r>
          <w:r>
            <w:rPr>
              <w:rFonts w:hint="eastAsia" w:ascii="黑体" w:hAnsi="黑体" w:eastAsia="黑体" w:cs="黑体"/>
            </w:rPr>
            <w:t>参考文献</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_Toc27090 \h </w:instrText>
          </w:r>
          <w:r>
            <w:rPr>
              <w:rFonts w:hint="eastAsia" w:ascii="黑体" w:hAnsi="黑体" w:eastAsia="黑体" w:cs="黑体"/>
            </w:rPr>
            <w:fldChar w:fldCharType="separate"/>
          </w:r>
          <w:r>
            <w:rPr>
              <w:rFonts w:hint="eastAsia" w:ascii="黑体" w:hAnsi="黑体" w:eastAsia="黑体" w:cs="黑体"/>
            </w:rPr>
            <w:t>14</w:t>
          </w:r>
          <w:r>
            <w:rPr>
              <w:rFonts w:hint="eastAsia" w:ascii="黑体" w:hAnsi="黑体" w:eastAsia="黑体" w:cs="黑体"/>
            </w:rPr>
            <w:fldChar w:fldCharType="end"/>
          </w:r>
          <w:r>
            <w:rPr>
              <w:rFonts w:hint="eastAsia" w:ascii="黑体" w:hAnsi="黑体" w:eastAsia="黑体" w:cs="黑体"/>
            </w:rPr>
            <w:fldChar w:fldCharType="end"/>
          </w:r>
        </w:p>
        <w:p>
          <w:pPr>
            <w:pStyle w:val="23"/>
            <w:tabs>
              <w:tab w:val="right" w:leader="dot" w:pos="8958"/>
              <w:tab w:val="clear" w:pos="9060"/>
            </w:tabs>
          </w:pPr>
          <w:r>
            <w:rPr>
              <w:rFonts w:hint="eastAsia" w:ascii="黑体" w:hAnsi="黑体" w:eastAsia="黑体" w:cs="黑体"/>
            </w:rPr>
            <w:fldChar w:fldCharType="begin"/>
          </w:r>
          <w:r>
            <w:rPr>
              <w:rFonts w:hint="eastAsia" w:ascii="黑体" w:hAnsi="黑体" w:eastAsia="黑体" w:cs="黑体"/>
            </w:rPr>
            <w:instrText xml:space="preserve"> HYPERLINK \l _Toc8522 </w:instrText>
          </w:r>
          <w:r>
            <w:rPr>
              <w:rFonts w:hint="eastAsia" w:ascii="黑体" w:hAnsi="黑体" w:eastAsia="黑体" w:cs="黑体"/>
            </w:rPr>
            <w:fldChar w:fldCharType="separate"/>
          </w:r>
          <w:r>
            <w:rPr>
              <w:rFonts w:hint="eastAsia" w:ascii="黑体" w:hAnsi="黑体" w:eastAsia="黑体" w:cs="黑体"/>
            </w:rPr>
            <w:t>致  谢</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_Toc8522 \h </w:instrText>
          </w:r>
          <w:r>
            <w:rPr>
              <w:rFonts w:hint="eastAsia" w:ascii="黑体" w:hAnsi="黑体" w:eastAsia="黑体" w:cs="黑体"/>
            </w:rPr>
            <w:fldChar w:fldCharType="separate"/>
          </w:r>
          <w:r>
            <w:rPr>
              <w:rFonts w:hint="eastAsia" w:ascii="黑体" w:hAnsi="黑体" w:eastAsia="黑体" w:cs="黑体"/>
            </w:rPr>
            <w:t>15</w:t>
          </w:r>
          <w:r>
            <w:rPr>
              <w:rFonts w:hint="eastAsia" w:ascii="黑体" w:hAnsi="黑体" w:eastAsia="黑体" w:cs="黑体"/>
            </w:rPr>
            <w:fldChar w:fldCharType="end"/>
          </w:r>
          <w:r>
            <w:rPr>
              <w:rFonts w:hint="eastAsia" w:ascii="黑体" w:hAnsi="黑体" w:eastAsia="黑体" w:cs="黑体"/>
            </w:rPr>
            <w:fldChar w:fldCharType="end"/>
          </w:r>
        </w:p>
        <w:p>
          <w:r>
            <w:fldChar w:fldCharType="end"/>
          </w:r>
        </w:p>
      </w:sdtContent>
    </w:sdt>
    <w:p>
      <w:pPr>
        <w:rPr>
          <w:szCs w:val="24"/>
        </w:rPr>
        <w:sectPr>
          <w:headerReference r:id="rId5" w:type="default"/>
          <w:headerReference r:id="rId6" w:type="even"/>
          <w:footerReference r:id="rId7" w:type="even"/>
          <w:pgSz w:w="11906" w:h="16838"/>
          <w:pgMar w:top="1440" w:right="1247" w:bottom="1440" w:left="1701" w:header="964" w:footer="850" w:gutter="0"/>
          <w:pgNumType w:start="1"/>
          <w:cols w:space="720" w:num="1"/>
          <w:docGrid w:linePitch="326" w:charSpace="0"/>
        </w:sectPr>
      </w:pPr>
    </w:p>
    <w:p>
      <w:pPr>
        <w:pStyle w:val="7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32"/>
          <w:szCs w:val="32"/>
          <w:lang w:eastAsia="zh-CN"/>
        </w:rPr>
      </w:pPr>
      <w:bookmarkStart w:id="8" w:name="_Toc26964"/>
      <w:r>
        <w:rPr>
          <w:rFonts w:hint="eastAsia"/>
          <w:sz w:val="32"/>
          <w:szCs w:val="32"/>
          <w:lang w:eastAsia="zh-CN"/>
        </w:rPr>
        <w:t>一、引言</w:t>
      </w:r>
      <w:bookmarkEnd w:id="8"/>
      <w:bookmarkStart w:id="9" w:name="_Toc11961"/>
      <w:bookmarkStart w:id="10" w:name="_Toc102939317"/>
    </w:p>
    <w:p>
      <w:pPr>
        <w:pStyle w:val="71"/>
        <w:keepNext w:val="0"/>
        <w:keepLines w:val="0"/>
        <w:pageBreakBefore w:val="0"/>
        <w:widowControl w:val="0"/>
        <w:kinsoku/>
        <w:wordWrap/>
        <w:overflowPunct/>
        <w:topLinePunct w:val="0"/>
        <w:autoSpaceDE/>
        <w:autoSpaceDN/>
        <w:bidi w:val="0"/>
        <w:adjustRightInd/>
        <w:snapToGrid/>
        <w:textAlignment w:val="auto"/>
        <w:rPr>
          <w:rFonts w:hint="eastAsia"/>
          <w:sz w:val="30"/>
          <w:szCs w:val="30"/>
        </w:rPr>
      </w:pPr>
      <w:bookmarkStart w:id="11" w:name="_Toc23007"/>
      <w:r>
        <w:rPr>
          <w:rFonts w:hint="eastAsia"/>
          <w:sz w:val="30"/>
          <w:szCs w:val="30"/>
          <w:lang w:val="en-US" w:eastAsia="zh-CN"/>
        </w:rPr>
        <w:t xml:space="preserve">（一） </w:t>
      </w:r>
      <w:r>
        <w:rPr>
          <w:rFonts w:hint="eastAsia"/>
          <w:sz w:val="30"/>
          <w:szCs w:val="30"/>
        </w:rPr>
        <w:t>研究背景</w:t>
      </w:r>
      <w:bookmarkEnd w:id="11"/>
    </w:p>
    <w:p>
      <w:pPr>
        <w:pStyle w:val="6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sz w:val="28"/>
          <w:szCs w:val="28"/>
        </w:rPr>
        <w:t>随着社会的发展，人们对新时期的城市社区治理有了新的认识。社区作为最基本的单位，其管理水平的高低直接影响到整个社会乃至国家的管理水平，关系到人们的日常生活。社区化的推进带来了许多进步，但也暴露出许多问题。随着中国特色社会主义的新阶段，我们需要从新的角度，针对当前我国社区管理所面临的新问题进行深入探讨和分析，并对这些问题进行深层次的分析。我们需要找到有效的途径来提高城市社区治理的总体效率，并进行社会管理体制的改革，以适应社会发展的需要。</w:t>
      </w:r>
    </w:p>
    <w:p>
      <w:pPr>
        <w:pStyle w:val="71"/>
        <w:bidi w:val="0"/>
        <w:rPr>
          <w:rFonts w:hint="eastAsia"/>
        </w:rPr>
      </w:pPr>
      <w:bookmarkStart w:id="12" w:name="_Toc1527"/>
      <w:r>
        <w:rPr>
          <w:rFonts w:hint="eastAsia"/>
          <w:lang w:val="en-US" w:eastAsia="zh-CN"/>
        </w:rPr>
        <w:t>（二）</w:t>
      </w:r>
      <w:r>
        <w:rPr>
          <w:rFonts w:hint="eastAsia"/>
        </w:rPr>
        <w:t>研究意义</w:t>
      </w:r>
      <w:bookmarkEnd w:id="12"/>
      <w:r>
        <w:rPr>
          <w:rFonts w:hint="eastAsia"/>
        </w:rPr>
        <w:t xml:space="preserve"> </w:t>
      </w:r>
    </w:p>
    <w:p>
      <w:pPr>
        <w:keepNext w:val="0"/>
        <w:keepLines w:val="0"/>
        <w:pageBreakBefore w:val="0"/>
        <w:widowControl w:val="0"/>
        <w:kinsoku/>
        <w:wordWrap/>
        <w:overflowPunct/>
        <w:topLinePunct w:val="0"/>
        <w:autoSpaceDE/>
        <w:autoSpaceDN/>
        <w:bidi w:val="0"/>
        <w:adjustRightInd/>
        <w:snapToGrid/>
        <w:spacing w:before="240" w:after="240" w:line="240" w:lineRule="auto"/>
        <w:ind w:firstLine="363"/>
        <w:textAlignment w:val="auto"/>
        <w:rPr>
          <w:rFonts w:hint="eastAsia" w:ascii="黑体" w:hAnsi="黑体" w:eastAsia="黑体" w:cs="黑体"/>
          <w:b/>
          <w:bCs/>
          <w:sz w:val="28"/>
          <w:szCs w:val="28"/>
        </w:rPr>
      </w:pPr>
      <w:bookmarkStart w:id="13" w:name="_Toc4389"/>
      <w:r>
        <w:rPr>
          <w:rFonts w:hint="eastAsia" w:ascii="黑体" w:hAnsi="黑体" w:eastAsia="黑体" w:cs="黑体"/>
          <w:b/>
          <w:bCs/>
          <w:sz w:val="28"/>
          <w:szCs w:val="28"/>
          <w:lang w:val="en-US" w:eastAsia="zh-CN"/>
        </w:rPr>
        <w:t xml:space="preserve">1. </w:t>
      </w:r>
      <w:r>
        <w:rPr>
          <w:rFonts w:hint="eastAsia" w:ascii="黑体" w:hAnsi="黑体" w:eastAsia="黑体" w:cs="黑体"/>
          <w:b/>
          <w:bCs/>
          <w:sz w:val="28"/>
          <w:szCs w:val="28"/>
        </w:rPr>
        <w:t>理论意义</w:t>
      </w:r>
      <w:bookmarkEnd w:id="13"/>
      <w:r>
        <w:rPr>
          <w:rFonts w:hint="eastAsia" w:ascii="黑体" w:hAnsi="黑体" w:eastAsia="黑体" w:cs="黑体"/>
          <w:b/>
          <w:bCs/>
          <w:sz w:val="28"/>
          <w:szCs w:val="28"/>
        </w:rPr>
        <w:t xml:space="preserve"> </w:t>
      </w:r>
    </w:p>
    <w:p>
      <w:pPr>
        <w:pStyle w:val="65"/>
        <w:bidi w:val="0"/>
        <w:rPr>
          <w:rFonts w:hint="eastAsia"/>
        </w:rPr>
      </w:pPr>
      <w:r>
        <w:rPr>
          <w:rFonts w:hint="eastAsia"/>
        </w:rPr>
        <w:t>探索如何更好地开展社区管理工作的政策和措施是一个新的研究方向，可以进一步丰富和完善城市社区管理的研究内容。拓宽对城市社区治理的认识，对未来城市社区治理的发展提供了理论支持和参考，也为构建我国社会管理的研究体系奠定了坚实的基础。</w:t>
      </w:r>
    </w:p>
    <w:p>
      <w:pPr>
        <w:pStyle w:val="69"/>
        <w:bidi w:val="0"/>
        <w:rPr>
          <w:rFonts w:hint="eastAsia"/>
          <w:lang w:val="en-US" w:eastAsia="zh-CN"/>
        </w:rPr>
      </w:pPr>
      <w:bookmarkStart w:id="14" w:name="_Toc21853"/>
      <w:r>
        <w:rPr>
          <w:rFonts w:hint="eastAsia"/>
          <w:lang w:val="en-US" w:eastAsia="zh-CN"/>
        </w:rPr>
        <w:t>2. 实践意义</w:t>
      </w:r>
      <w:bookmarkEnd w:id="14"/>
    </w:p>
    <w:p>
      <w:pPr>
        <w:pStyle w:val="65"/>
        <w:bidi w:val="0"/>
        <w:rPr>
          <w:rFonts w:hint="eastAsia"/>
          <w:lang w:val="en-US" w:eastAsia="zh-CN"/>
        </w:rPr>
      </w:pPr>
      <w:r>
        <w:rPr>
          <w:rFonts w:hint="eastAsia"/>
          <w:lang w:val="en-US" w:eastAsia="zh-CN"/>
        </w:rPr>
        <w:t>随着新时代的到来，城市社区治理面临着诸多挑战和问题。其中一些问题包括社区管理体制不完善、社区治理效率低下、居民参与度不高等。这些问题不仅影响到城市社区的发展，也妨碍了国家现代化进程的推进。因此，研究新时代背景下城市社区治理存在问题及对策的实践意义非常重要。通过对问题的深入分析和研究，我们可以探索出有效的解决方案和对策，推动城市社区治理体系的改革和完善。</w:t>
      </w:r>
    </w:p>
    <w:p>
      <w:pPr>
        <w:pStyle w:val="71"/>
        <w:bidi w:val="0"/>
        <w:rPr>
          <w:rFonts w:hint="eastAsia"/>
          <w:lang w:val="en-US" w:eastAsia="zh-CN"/>
        </w:rPr>
      </w:pPr>
      <w:bookmarkStart w:id="15" w:name="_Toc6709"/>
      <w:r>
        <w:rPr>
          <w:rFonts w:hint="eastAsia"/>
          <w:lang w:val="en-US" w:eastAsia="zh-CN"/>
        </w:rPr>
        <w:t>（三） 国内外研究现状</w:t>
      </w:r>
      <w:bookmarkEnd w:id="15"/>
    </w:p>
    <w:p>
      <w:pPr>
        <w:pStyle w:val="69"/>
        <w:bidi w:val="0"/>
        <w:rPr>
          <w:rFonts w:hint="eastAsia"/>
          <w:lang w:val="en-US" w:eastAsia="zh-CN"/>
        </w:rPr>
      </w:pPr>
      <w:bookmarkStart w:id="16" w:name="_Toc133"/>
      <w:r>
        <w:rPr>
          <w:rFonts w:hint="eastAsia"/>
          <w:lang w:val="en-US" w:eastAsia="zh-CN"/>
        </w:rPr>
        <w:t>1. 国外研究现状</w:t>
      </w:r>
      <w:bookmarkEnd w:id="16"/>
    </w:p>
    <w:p>
      <w:pPr>
        <w:pStyle w:val="65"/>
        <w:bidi w:val="0"/>
        <w:rPr>
          <w:rFonts w:hint="eastAsia"/>
          <w:lang w:val="en-US" w:eastAsia="zh-CN"/>
        </w:rPr>
      </w:pPr>
      <w:r>
        <w:rPr>
          <w:rFonts w:hint="eastAsia"/>
          <w:lang w:val="en-US" w:eastAsia="zh-CN"/>
        </w:rPr>
        <w:t>国外对城市社区治理问题的研究也非常广泛，尤其是在发达国家和地区，如欧美国家、澳大利亚、加拿大、日本、新加坡等地区，都有相应的研究成果。</w:t>
      </w:r>
    </w:p>
    <w:p>
      <w:pPr>
        <w:pStyle w:val="65"/>
        <w:bidi w:val="0"/>
        <w:rPr>
          <w:rFonts w:hint="eastAsia"/>
          <w:lang w:val="en-US" w:eastAsia="zh-CN"/>
        </w:rPr>
      </w:pPr>
      <w:r>
        <w:rPr>
          <w:rFonts w:hint="eastAsia"/>
          <w:lang w:val="en-US" w:eastAsia="zh-CN"/>
        </w:rPr>
        <w:t>其中，城市社区治理的主要问题包括社区治理结构不完善、社区治理效率低下、社区资源分配不公等。在解决这些问题的对策方面，国外学者提出了很多有价值的观点和方法，如加强社区治理的透明度和公正性、推进社区治理的智能化和数字化建设、加强居民参与和自治等。</w:t>
      </w:r>
    </w:p>
    <w:p>
      <w:pPr>
        <w:pStyle w:val="65"/>
        <w:bidi w:val="0"/>
        <w:rPr>
          <w:rFonts w:hint="eastAsia"/>
          <w:lang w:val="en-US" w:eastAsia="zh-CN"/>
        </w:rPr>
      </w:pPr>
      <w:r>
        <w:rPr>
          <w:rFonts w:hint="eastAsia"/>
          <w:lang w:val="en-US" w:eastAsia="zh-CN"/>
        </w:rPr>
        <w:t>例如，欧洲的城市社区治理在政府、市民和民间组织之间建立起了一种“三位一体”的治理模式，这种模式通过市民参与和自治，提高了城市社区的治理效率和公正性。日本的城市社区治理则注重通过强化居民自治，推动社区的可持续发展和创新发展。新加坡则借助科技手段，推进社区治理的智能化和数字化建设，提高社区治理的效率和居民参与度。</w:t>
      </w:r>
    </w:p>
    <w:p>
      <w:pPr>
        <w:pStyle w:val="65"/>
        <w:bidi w:val="0"/>
        <w:rPr>
          <w:rFonts w:hint="eastAsia"/>
          <w:lang w:val="en-US" w:eastAsia="zh-CN"/>
        </w:rPr>
      </w:pPr>
      <w:r>
        <w:rPr>
          <w:rFonts w:hint="eastAsia"/>
          <w:lang w:val="en-US" w:eastAsia="zh-CN"/>
        </w:rPr>
        <w:t>总的来说，国外城市社区治理问题的研究成果丰富，其中的对策和经验可以为中国在新时代背景下推进城市社区治理改革和创新提供有益的借鉴。</w:t>
      </w:r>
    </w:p>
    <w:p>
      <w:pPr>
        <w:pStyle w:val="69"/>
        <w:bidi w:val="0"/>
        <w:rPr>
          <w:rFonts w:hint="eastAsia"/>
          <w:lang w:val="en-US" w:eastAsia="zh-CN"/>
        </w:rPr>
      </w:pPr>
      <w:bookmarkStart w:id="17" w:name="_Toc24234"/>
      <w:r>
        <w:rPr>
          <w:rFonts w:hint="eastAsia"/>
          <w:lang w:val="en-US" w:eastAsia="zh-CN"/>
        </w:rPr>
        <w:t>2. 国内研究现状</w:t>
      </w:r>
      <w:bookmarkEnd w:id="17"/>
    </w:p>
    <w:p>
      <w:pPr>
        <w:pStyle w:val="65"/>
        <w:bidi w:val="0"/>
        <w:rPr>
          <w:rFonts w:hint="eastAsia"/>
          <w:lang w:val="en-US" w:eastAsia="zh-CN"/>
        </w:rPr>
      </w:pPr>
      <w:r>
        <w:rPr>
          <w:rFonts w:hint="eastAsia"/>
          <w:lang w:val="en-US" w:eastAsia="zh-CN"/>
        </w:rPr>
        <w:t>李广德(2016)在从国家的角度上，对现代化与法治化之间进行了论述。作者认为，现代化的城市社区治理需要达到一个新的目标，而在现代社会中，法治是一种能够充分反映现代性的方式。从一个具有逻辑关联性的角度来看，可以得出对权力进行规制、保护和监督的最佳方式就是法治。</w:t>
      </w:r>
      <w:r>
        <w:rPr>
          <w:rFonts w:hint="eastAsia"/>
          <w:vertAlign w:val="superscript"/>
          <w:lang w:val="en-US" w:eastAsia="zh-CN"/>
        </w:rPr>
        <w:fldChar w:fldCharType="begin"/>
      </w:r>
      <w:r>
        <w:rPr>
          <w:rFonts w:hint="eastAsia"/>
          <w:vertAlign w:val="superscript"/>
          <w:lang w:val="en-US" w:eastAsia="zh-CN"/>
        </w:rPr>
        <w:instrText xml:space="preserve"> REF _Ref12867 \r \h </w:instrText>
      </w:r>
      <w:r>
        <w:rPr>
          <w:rFonts w:hint="eastAsia"/>
          <w:vertAlign w:val="superscript"/>
          <w:lang w:val="en-US" w:eastAsia="zh-CN"/>
        </w:rPr>
        <w:fldChar w:fldCharType="separate"/>
      </w:r>
      <w:r>
        <w:rPr>
          <w:rFonts w:hint="eastAsia"/>
          <w:vertAlign w:val="superscript"/>
          <w:lang w:val="en-US" w:eastAsia="zh-CN"/>
        </w:rPr>
        <w:t>[1]</w:t>
      </w:r>
      <w:r>
        <w:rPr>
          <w:rFonts w:hint="eastAsia"/>
          <w:vertAlign w:val="superscript"/>
          <w:lang w:val="en-US" w:eastAsia="zh-CN"/>
        </w:rPr>
        <w:fldChar w:fldCharType="end"/>
      </w:r>
    </w:p>
    <w:p>
      <w:pPr>
        <w:pStyle w:val="65"/>
        <w:bidi w:val="0"/>
        <w:rPr>
          <w:rFonts w:hint="eastAsia"/>
          <w:lang w:val="en-US" w:eastAsia="zh-CN"/>
        </w:rPr>
      </w:pPr>
      <w:r>
        <w:rPr>
          <w:rFonts w:hint="eastAsia"/>
          <w:lang w:val="en-US" w:eastAsia="zh-CN"/>
        </w:rPr>
        <w:t>杨旭(2017) 在继承李广德思想基础上，提炼全国范围内城市社区治理现代化的过程。杨旭将法治归结为社会管理的根本与保证，提出法治是社会管理的核心要素，并从历史性与制度性两个方面进行了阐述。他明确了治理的现代化与法制现代化的关系，并深入论述了社区治理的法治化本质。他认为，以法制的观念和法制的精神来统领社区治理的每一个层次，是社会现代化的基本特征。</w:t>
      </w:r>
      <w:r>
        <w:rPr>
          <w:rFonts w:hint="eastAsia"/>
          <w:vertAlign w:val="superscript"/>
          <w:lang w:val="en-US" w:eastAsia="zh-CN"/>
        </w:rPr>
        <w:fldChar w:fldCharType="begin"/>
      </w:r>
      <w:r>
        <w:rPr>
          <w:rFonts w:hint="eastAsia"/>
          <w:vertAlign w:val="superscript"/>
          <w:lang w:val="en-US" w:eastAsia="zh-CN"/>
        </w:rPr>
        <w:instrText xml:space="preserve"> REF _Ref12883 \r \h </w:instrText>
      </w:r>
      <w:r>
        <w:rPr>
          <w:rFonts w:hint="eastAsia"/>
          <w:vertAlign w:val="superscript"/>
          <w:lang w:val="en-US" w:eastAsia="zh-CN"/>
        </w:rPr>
        <w:fldChar w:fldCharType="separate"/>
      </w:r>
      <w:r>
        <w:rPr>
          <w:rFonts w:hint="eastAsia"/>
          <w:vertAlign w:val="superscript"/>
          <w:lang w:val="en-US" w:eastAsia="zh-CN"/>
        </w:rPr>
        <w:t>[2]</w:t>
      </w:r>
      <w:r>
        <w:rPr>
          <w:rFonts w:hint="eastAsia"/>
          <w:vertAlign w:val="superscript"/>
          <w:lang w:val="en-US" w:eastAsia="zh-CN"/>
        </w:rPr>
        <w:fldChar w:fldCharType="end"/>
      </w:r>
    </w:p>
    <w:p>
      <w:pPr>
        <w:pStyle w:val="65"/>
        <w:bidi w:val="0"/>
        <w:rPr>
          <w:rFonts w:hint="eastAsia"/>
          <w:lang w:val="en-US" w:eastAsia="zh-CN"/>
        </w:rPr>
      </w:pPr>
      <w:r>
        <w:rPr>
          <w:rFonts w:hint="eastAsia"/>
          <w:lang w:val="en-US" w:eastAsia="zh-CN"/>
        </w:rPr>
        <w:t>经过对社区治理的持续研究和国外先进管理经验的积累，我们构思出了一些社区治理模式和方案。虽然我们在借鉴外国优秀管理经验方面已取得一些成功，但由于各国的基本情况存在较大差异，因此我们的社区管理必须结合自身实际情况，制定符合本国情况的管理策略，才能使我们的社会管理之路更加稳健。</w:t>
      </w:r>
    </w:p>
    <w:p>
      <w:pPr>
        <w:pStyle w:val="71"/>
        <w:bidi w:val="0"/>
        <w:rPr>
          <w:rFonts w:hint="eastAsia"/>
          <w:lang w:val="en-US" w:eastAsia="zh-CN"/>
        </w:rPr>
      </w:pPr>
      <w:bookmarkStart w:id="18" w:name="_Toc7898"/>
      <w:r>
        <w:rPr>
          <w:rFonts w:hint="eastAsia"/>
          <w:lang w:val="en-US" w:eastAsia="zh-CN"/>
        </w:rPr>
        <w:t>（四） 研究方法</w:t>
      </w:r>
      <w:bookmarkEnd w:id="18"/>
    </w:p>
    <w:p>
      <w:pPr>
        <w:pStyle w:val="69"/>
        <w:bidi w:val="0"/>
        <w:rPr>
          <w:rFonts w:hint="eastAsia"/>
          <w:lang w:val="en-US" w:eastAsia="zh-CN"/>
        </w:rPr>
      </w:pPr>
      <w:bookmarkStart w:id="19" w:name="_Toc2387"/>
      <w:r>
        <w:rPr>
          <w:rFonts w:hint="eastAsia"/>
          <w:lang w:val="en-US" w:eastAsia="zh-CN"/>
        </w:rPr>
        <w:t>1. 文献研究法</w:t>
      </w:r>
      <w:bookmarkEnd w:id="19"/>
    </w:p>
    <w:p>
      <w:pPr>
        <w:pStyle w:val="65"/>
        <w:bidi w:val="0"/>
        <w:rPr>
          <w:rFonts w:hint="eastAsia"/>
          <w:lang w:val="en-US" w:eastAsia="zh-CN"/>
        </w:rPr>
      </w:pPr>
      <w:r>
        <w:rPr>
          <w:rFonts w:hint="eastAsia"/>
          <w:lang w:val="en-US" w:eastAsia="zh-CN"/>
        </w:rPr>
        <w:t>在阅读与城市社区治理相关的文献的同时，并且在网络图书馆中，查找和积累社区管理文献，为撰写新时代城市社区治理文章，提供有益的理论基础。</w:t>
      </w:r>
    </w:p>
    <w:p>
      <w:pPr>
        <w:pStyle w:val="69"/>
        <w:bidi w:val="0"/>
        <w:rPr>
          <w:rFonts w:hint="eastAsia"/>
          <w:lang w:val="en-US" w:eastAsia="zh-CN"/>
        </w:rPr>
      </w:pPr>
      <w:bookmarkStart w:id="20" w:name="_Toc23927"/>
      <w:r>
        <w:rPr>
          <w:rFonts w:hint="eastAsia"/>
          <w:lang w:val="en-US" w:eastAsia="zh-CN"/>
        </w:rPr>
        <w:t>2.实地调研法</w:t>
      </w:r>
      <w:bookmarkEnd w:id="20"/>
    </w:p>
    <w:p>
      <w:pPr>
        <w:pStyle w:val="65"/>
        <w:bidi w:val="0"/>
        <w:rPr>
          <w:rFonts w:hint="eastAsia"/>
          <w:lang w:val="en-US" w:eastAsia="zh-CN"/>
        </w:rPr>
      </w:pPr>
      <w:r>
        <w:rPr>
          <w:rFonts w:hint="eastAsia"/>
          <w:lang w:val="en-US" w:eastAsia="zh-CN"/>
        </w:rPr>
        <w:t>我们通过对SF社区的实地走访等方式，了解居民对社区治理的评价和对存在问题的反映。通过这些方式，我们可以发现一些常见的问题。</w:t>
      </w:r>
    </w:p>
    <w:p>
      <w:pPr>
        <w:rPr>
          <w:rFonts w:hint="eastAsia"/>
          <w:lang w:val="en-US" w:eastAsia="zh-CN"/>
        </w:rPr>
      </w:pPr>
      <w:r>
        <w:rPr>
          <w:rFonts w:hint="eastAsia"/>
          <w:lang w:val="en-US" w:eastAsia="zh-CN"/>
        </w:rPr>
        <w:br w:type="page"/>
      </w:r>
    </w:p>
    <w:p>
      <w:pPr>
        <w:pStyle w:val="70"/>
        <w:bidi w:val="0"/>
        <w:rPr>
          <w:rFonts w:hint="eastAsia"/>
          <w:lang w:val="en-US" w:eastAsia="zh-CN"/>
        </w:rPr>
      </w:pPr>
      <w:bookmarkStart w:id="21" w:name="_Toc27649"/>
      <w:r>
        <w:rPr>
          <w:rFonts w:hint="eastAsia"/>
          <w:lang w:val="en-US" w:eastAsia="zh-CN"/>
        </w:rPr>
        <w:t>二、 基本概念界定</w:t>
      </w:r>
      <w:bookmarkEnd w:id="21"/>
    </w:p>
    <w:p>
      <w:pPr>
        <w:pStyle w:val="71"/>
        <w:bidi w:val="0"/>
        <w:rPr>
          <w:rFonts w:hint="eastAsia"/>
          <w:lang w:val="en-US" w:eastAsia="zh-CN"/>
        </w:rPr>
      </w:pPr>
      <w:bookmarkStart w:id="22" w:name="_Toc21945"/>
      <w:r>
        <w:rPr>
          <w:rFonts w:hint="eastAsia"/>
          <w:lang w:val="en-US" w:eastAsia="zh-CN"/>
        </w:rPr>
        <w:t>（一） 新时代</w:t>
      </w:r>
      <w:bookmarkEnd w:id="22"/>
    </w:p>
    <w:p>
      <w:pPr>
        <w:pStyle w:val="65"/>
        <w:bidi w:val="0"/>
        <w:rPr>
          <w:rFonts w:hint="eastAsia"/>
          <w:lang w:val="en-US" w:eastAsia="zh-CN"/>
        </w:rPr>
      </w:pPr>
      <w:r>
        <w:rPr>
          <w:rFonts w:hint="eastAsia"/>
          <w:lang w:val="en-US" w:eastAsia="zh-CN"/>
        </w:rPr>
        <w:t>新时代是指当前中国特色社会主义进入了新时代。新时代的基本概念包括：习近平新时代中国特色社会主义思想、全面建设社会主义现代化国家、全面深化改革、全面依法治国、全面从严治党、推动人类命运共同体建设等。</w:t>
      </w:r>
    </w:p>
    <w:p>
      <w:pPr>
        <w:pStyle w:val="71"/>
        <w:bidi w:val="0"/>
        <w:rPr>
          <w:rFonts w:hint="eastAsia"/>
          <w:lang w:val="en-US" w:eastAsia="zh-CN"/>
        </w:rPr>
      </w:pPr>
      <w:bookmarkStart w:id="23" w:name="_Toc15800"/>
      <w:r>
        <w:rPr>
          <w:rFonts w:hint="eastAsia"/>
          <w:lang w:val="en-US" w:eastAsia="zh-CN"/>
        </w:rPr>
        <w:t>（二） 城市社区治理</w:t>
      </w:r>
      <w:bookmarkEnd w:id="23"/>
    </w:p>
    <w:p>
      <w:pPr>
        <w:pStyle w:val="65"/>
        <w:bidi w:val="0"/>
        <w:rPr>
          <w:rFonts w:hint="eastAsia"/>
          <w:color w:val="0000FF"/>
          <w:lang w:val="en-US" w:eastAsia="zh-CN"/>
        </w:rPr>
      </w:pPr>
      <w:r>
        <w:rPr>
          <w:rFonts w:hint="eastAsia"/>
          <w:color w:val="auto"/>
          <w:lang w:val="en-US" w:eastAsia="zh-CN"/>
        </w:rPr>
        <w:t>城市社区治理是在城市社区范围内，利用多方参与和合作的方式，协调社区内的资源、管理社区事务、满足社区居民需求、促进社区发展的一系列行为和活动。其具体工作内容包括社区规划、社区建设、社区服务、社区管理等方面。</w:t>
      </w:r>
    </w:p>
    <w:p>
      <w:pPr>
        <w:pStyle w:val="70"/>
        <w:bidi w:val="0"/>
        <w:rPr>
          <w:rFonts w:hint="eastAsia"/>
          <w:lang w:val="en-US" w:eastAsia="zh-CN"/>
        </w:rPr>
      </w:pPr>
      <w:bookmarkStart w:id="24" w:name="_Toc3132"/>
      <w:r>
        <w:rPr>
          <w:rFonts w:hint="eastAsia"/>
          <w:lang w:val="en-US" w:eastAsia="zh-CN"/>
        </w:rPr>
        <w:t>三、 SF社区城市社区治理成效</w:t>
      </w:r>
      <w:bookmarkEnd w:id="24"/>
    </w:p>
    <w:p>
      <w:pPr>
        <w:pStyle w:val="65"/>
        <w:bidi w:val="0"/>
        <w:rPr>
          <w:rFonts w:hint="eastAsia"/>
          <w:lang w:val="en-US" w:eastAsia="zh-CN"/>
        </w:rPr>
      </w:pPr>
      <w:r>
        <w:rPr>
          <w:rFonts w:hint="eastAsia"/>
          <w:lang w:val="en-US" w:eastAsia="zh-CN"/>
        </w:rPr>
        <w:t>SF社区位于A县主要城市中心，成立于2011年11月。自2018年起，SF社区一直坚持“以党建为引领”，通过对国外城市社会管理实践的总结和吸收，推动城市社区治理的改革与发展。同时，不断完善城市社区治理体制，促进城市社区治理水平的提升。</w:t>
      </w:r>
    </w:p>
    <w:p>
      <w:pPr>
        <w:pStyle w:val="71"/>
        <w:bidi w:val="0"/>
        <w:rPr>
          <w:rFonts w:hint="eastAsia"/>
          <w:lang w:val="en-US" w:eastAsia="zh-CN"/>
        </w:rPr>
      </w:pPr>
      <w:bookmarkStart w:id="25" w:name="_Toc27482"/>
      <w:r>
        <w:rPr>
          <w:rFonts w:hint="eastAsia"/>
          <w:lang w:val="en-US" w:eastAsia="zh-CN"/>
        </w:rPr>
        <w:t>（一） 人才队伍建设促治理能力提高</w:t>
      </w:r>
      <w:bookmarkEnd w:id="25"/>
    </w:p>
    <w:p>
      <w:pPr>
        <w:pStyle w:val="65"/>
        <w:bidi w:val="0"/>
        <w:rPr>
          <w:rFonts w:hint="eastAsia"/>
          <w:color w:val="auto"/>
          <w:lang w:val="en-US" w:eastAsia="zh-CN"/>
        </w:rPr>
      </w:pPr>
      <w:r>
        <w:rPr>
          <w:rFonts w:hint="eastAsia"/>
          <w:color w:val="auto"/>
          <w:lang w:val="en-US" w:eastAsia="zh-CN"/>
        </w:rPr>
        <w:t>SF社区一直致力于提升人才的培养和发掘，这一举措不仅有助于提高社区的工作能力和效率，也为社区成员的个人发展提供了广阔的发展空间。为加强社区人员的培训，SF社区实行了“3+N”社工能力提升工程，通过初能计划、专能计划和全能计划的分类培训，让社工们在不同领域和不同层次上获得专业知识和实践经验，从而提高自身的能力水平。此外，社区还注重从网格员队伍中发掘优秀人才，为其提供晋升和发展的机会，以激发他们的工作热情和创新能力。SF社区党组织在发现和培养人才方面也发挥了积极的作用。他们不断关注社区工作中表现优秀、能力突出的人才，通过激发他们的干事创业精神和主人翁意识，引导他们积极参与社区建设和治理，为社区发展注入新的动力和活力。同时，SF社区注重信息化的支持，通过数字化手段加强社区管理和服务，推进社区治理和综合治理建设，提高工作水平和服务质量。在“我为群众办实事”实践活动中，SF社区不断完善工作机制和流程，积极响应社区居民的需求和诉求，促进社区和谐稳定发展。这些努力，使得SF社区形成了一支具有战斗力、凝聚力的高素质人才队伍，为社区的发展和进步作出了积极贡献。</w:t>
      </w:r>
    </w:p>
    <w:p>
      <w:pPr>
        <w:pStyle w:val="71"/>
        <w:bidi w:val="0"/>
        <w:rPr>
          <w:rFonts w:hint="eastAsia"/>
          <w:lang w:val="en-US" w:eastAsia="zh-CN"/>
        </w:rPr>
      </w:pPr>
      <w:bookmarkStart w:id="26" w:name="_Toc4975"/>
      <w:r>
        <w:rPr>
          <w:rFonts w:hint="eastAsia"/>
          <w:lang w:val="en-US" w:eastAsia="zh-CN"/>
        </w:rPr>
        <w:t>（二）共驻共建共治促社区资源共享</w:t>
      </w:r>
      <w:bookmarkEnd w:id="26"/>
    </w:p>
    <w:p>
      <w:pPr>
        <w:pStyle w:val="65"/>
        <w:bidi w:val="0"/>
        <w:rPr>
          <w:rFonts w:hint="eastAsia"/>
          <w:lang w:val="en-US" w:eastAsia="zh-CN"/>
        </w:rPr>
      </w:pPr>
      <w:r>
        <w:rPr>
          <w:rFonts w:hint="eastAsia"/>
          <w:lang w:val="en-US" w:eastAsia="zh-CN"/>
        </w:rPr>
        <w:t>SF社区有效整合了城市社区的人力、财力和物力，取得了显著的成效。居民们一年内已经完成了200多次的“联防联控”工作，为创造和谐的人居环境奠定了坚实的基础。通过建立“四个一组”的模式，物业公司配备了一名党员，成立了“红色物业支部”，并组建了业主委员会和物业管理委员会，基本达到了“四位一体”的目标。SF社区积极开展社会团体孵化器的建设，并与其他社区签署合作协议，成立了“联合党支部”，逐步实现了社区资源的共享。</w:t>
      </w:r>
    </w:p>
    <w:p>
      <w:pPr>
        <w:pStyle w:val="71"/>
        <w:bidi w:val="0"/>
        <w:rPr>
          <w:rFonts w:hint="eastAsia"/>
          <w:lang w:val="en-US" w:eastAsia="zh-CN"/>
        </w:rPr>
      </w:pPr>
      <w:bookmarkStart w:id="27" w:name="_Toc6800"/>
      <w:r>
        <w:rPr>
          <w:rFonts w:hint="eastAsia"/>
          <w:lang w:val="en-US" w:eastAsia="zh-CN"/>
        </w:rPr>
        <w:t>（三）精细化管理促社区环境改善</w:t>
      </w:r>
      <w:bookmarkEnd w:id="27"/>
      <w:r>
        <w:rPr>
          <w:rFonts w:hint="eastAsia"/>
          <w:lang w:val="en-US" w:eastAsia="zh-CN"/>
        </w:rPr>
        <w:t xml:space="preserve"> </w:t>
      </w:r>
    </w:p>
    <w:p>
      <w:pPr>
        <w:pStyle w:val="65"/>
        <w:bidi w:val="0"/>
        <w:rPr>
          <w:rFonts w:hint="eastAsia"/>
          <w:color w:val="auto"/>
          <w:lang w:val="en-US" w:eastAsia="zh-CN"/>
        </w:rPr>
      </w:pPr>
      <w:r>
        <w:rPr>
          <w:rFonts w:hint="eastAsia"/>
          <w:color w:val="auto"/>
          <w:lang w:val="en-US" w:eastAsia="zh-CN"/>
        </w:rPr>
        <w:t>SF社区在提高卫生质量方面，不仅仅依靠加大保洁力度，更注重提高环保意识。社区积极推广垃圾分类，倡导住户居民养成生活垃圾分类习惯，引导大家充分认识垃圾分类对于环境保护的重要性。</w:t>
      </w:r>
    </w:p>
    <w:p>
      <w:pPr>
        <w:pStyle w:val="65"/>
        <w:bidi w:val="0"/>
        <w:rPr>
          <w:rFonts w:hint="eastAsia"/>
          <w:color w:val="auto"/>
          <w:lang w:val="en-US" w:eastAsia="zh-CN"/>
        </w:rPr>
      </w:pPr>
      <w:r>
        <w:rPr>
          <w:rFonts w:hint="eastAsia"/>
          <w:color w:val="auto"/>
          <w:lang w:val="en-US" w:eastAsia="zh-CN"/>
        </w:rPr>
        <w:t>SF社区在环保治理方面采取了一系列措施。</w:t>
      </w:r>
    </w:p>
    <w:p>
      <w:pPr>
        <w:pStyle w:val="65"/>
        <w:bidi w:val="0"/>
        <w:rPr>
          <w:rFonts w:hint="eastAsia"/>
          <w:color w:val="auto"/>
          <w:lang w:val="en-US" w:eastAsia="zh-CN"/>
        </w:rPr>
      </w:pPr>
      <w:r>
        <w:rPr>
          <w:rFonts w:hint="eastAsia"/>
          <w:color w:val="auto"/>
          <w:lang w:val="en-US" w:eastAsia="zh-CN"/>
        </w:rPr>
        <w:t>首先，通过组织居民参加环保知识讲座、制作环保手册等方式积极开展环保宣传活动，提高居民的环保意识和责任感。</w:t>
      </w:r>
    </w:p>
    <w:p>
      <w:pPr>
        <w:pStyle w:val="65"/>
        <w:bidi w:val="0"/>
        <w:rPr>
          <w:rFonts w:hint="eastAsia"/>
          <w:color w:val="auto"/>
          <w:lang w:val="en-US" w:eastAsia="zh-CN"/>
        </w:rPr>
      </w:pPr>
      <w:r>
        <w:rPr>
          <w:rFonts w:hint="eastAsia"/>
          <w:color w:val="auto"/>
          <w:lang w:val="en-US" w:eastAsia="zh-CN"/>
        </w:rPr>
        <w:t>其次，注重创新督导检查方式，将人工巡查与信息化管理相结合，建立数字化督导管理平台，实现对环境卫生情况的实时监控和反馈。并且，通过对督导结果进行数据分析和挖掘，为下一步工作提供科学依据，提高工作效率和管理水平。</w:t>
      </w:r>
    </w:p>
    <w:p>
      <w:pPr>
        <w:pStyle w:val="65"/>
        <w:bidi w:val="0"/>
        <w:rPr>
          <w:rFonts w:hint="eastAsia"/>
          <w:color w:val="auto"/>
          <w:lang w:val="en-US" w:eastAsia="zh-CN"/>
        </w:rPr>
      </w:pPr>
      <w:r>
        <w:rPr>
          <w:rFonts w:hint="eastAsia"/>
          <w:color w:val="auto"/>
          <w:lang w:val="en-US" w:eastAsia="zh-CN"/>
        </w:rPr>
        <w:t>最后，社区还加强了社区居民的参与感和获得感，开展“环境好，我乐意参与”等志愿服务活动，号召居民积极参与社区环保整治，共同打造宜居环境，让居民感受到环保工作的实效和社区管理的民主化和社会化。</w:t>
      </w:r>
    </w:p>
    <w:p>
      <w:pPr>
        <w:pStyle w:val="70"/>
        <w:bidi w:val="0"/>
        <w:rPr>
          <w:rFonts w:hint="eastAsia"/>
        </w:rPr>
      </w:pPr>
      <w:bookmarkStart w:id="28" w:name="_Toc22528"/>
      <w:r>
        <w:rPr>
          <w:rFonts w:hint="eastAsia"/>
          <w:lang w:val="en-US" w:eastAsia="zh-CN"/>
        </w:rPr>
        <w:t>四、SF社区</w:t>
      </w:r>
      <w:r>
        <w:rPr>
          <w:rFonts w:hint="eastAsia"/>
        </w:rPr>
        <w:t>城市社区治理存在的问题</w:t>
      </w:r>
      <w:bookmarkEnd w:id="28"/>
    </w:p>
    <w:p>
      <w:pPr>
        <w:pStyle w:val="71"/>
        <w:bidi w:val="0"/>
        <w:rPr>
          <w:rFonts w:hint="eastAsia"/>
        </w:rPr>
      </w:pPr>
      <w:bookmarkStart w:id="29" w:name="_Toc29803"/>
      <w:r>
        <w:rPr>
          <w:rFonts w:hint="eastAsia"/>
          <w:lang w:val="en-US" w:eastAsia="zh-CN"/>
        </w:rPr>
        <w:t xml:space="preserve">（一） </w:t>
      </w:r>
      <w:r>
        <w:rPr>
          <w:rFonts w:hint="eastAsia"/>
        </w:rPr>
        <w:t>居委会</w:t>
      </w:r>
      <w:r>
        <w:rPr>
          <w:rFonts w:hint="eastAsia"/>
          <w:lang w:eastAsia="zh-CN"/>
        </w:rPr>
        <w:t>在</w:t>
      </w:r>
      <w:r>
        <w:rPr>
          <w:rFonts w:hint="eastAsia"/>
        </w:rPr>
        <w:t>工作中行政事务占比过大</w:t>
      </w:r>
      <w:bookmarkEnd w:id="29"/>
    </w:p>
    <w:p>
      <w:pPr>
        <w:pStyle w:val="65"/>
        <w:bidi w:val="0"/>
        <w:rPr>
          <w:rFonts w:hint="eastAsia"/>
        </w:rPr>
      </w:pPr>
      <w:r>
        <w:rPr>
          <w:rFonts w:hint="eastAsia"/>
          <w:lang w:eastAsia="zh-CN"/>
        </w:rPr>
        <w:t>SF小区社区居民委员会的职责不够明确，行政事务过多，妨碍了社会生活各方面的顺畅运作，对城市社会管理水平产生了严重的制约。调查显示，SF城市居委会除了需要履行《城市居民委员会组织法》规定的职责外，还需对所辖范围内的企业、个体工商户和周围环境的安全生产和环境保护负责。问卷调查显示，78%的SF城市社区职员表示大部分工作都由街道办事处分配，仅有22%的工作与所在社区相关。社区职员过多承担了不该负担的管理工作，导致社区文化和义工活动的空间受限。这使得社区居委会的工作仅仅是应对街道办的管理要求，无法规划与居民日常生活密切相关的文化和休闲活动。因此，为人民服务的工作变成了辅助性工作，提供的服务也变得形式化。</w:t>
      </w:r>
    </w:p>
    <w:p>
      <w:pPr>
        <w:pStyle w:val="71"/>
        <w:bidi w:val="0"/>
        <w:rPr>
          <w:rFonts w:hint="eastAsia"/>
        </w:rPr>
      </w:pPr>
      <w:bookmarkStart w:id="30" w:name="_Toc31078"/>
      <w:r>
        <w:rPr>
          <w:rFonts w:hint="eastAsia"/>
          <w:lang w:val="en-US" w:eastAsia="zh-CN"/>
        </w:rPr>
        <w:t xml:space="preserve">（二） </w:t>
      </w:r>
      <w:r>
        <w:rPr>
          <w:rFonts w:hint="eastAsia"/>
        </w:rPr>
        <w:t>多元主体协同治理效果不佳</w:t>
      </w:r>
      <w:bookmarkEnd w:id="30"/>
    </w:p>
    <w:p>
      <w:pPr>
        <w:pStyle w:val="65"/>
        <w:bidi w:val="0"/>
        <w:rPr>
          <w:rFonts w:hint="eastAsia"/>
          <w:lang w:eastAsia="zh-CN"/>
        </w:rPr>
      </w:pPr>
      <w:r>
        <w:rPr>
          <w:rFonts w:hint="eastAsia"/>
        </w:rPr>
        <w:t>为了推动我国城市社区管理的不断完善与发展，制订和实施策略时，多方主体应主动进行磋商以达成共同目的。然而，就SF所在的城市社区而言，尽管近年来引入了多种社会力量，但其社会管理成效不理想。除了党组织、街道办、居委会之外，其他治理主体的参与积极性和主动性普遍较低，促进效果不明显，甚至在参与的活动中形式化、走过场。例如，在SF社区中，一些村民会议的参与人数不足50%，在城市小区里，有些人不清楚自己应承担哪些责任，仅因想更换物业公司而进行选举。由于缺乏多方参与的动力，“合作”的效率低下，削弱了“合作”的力量。</w:t>
      </w:r>
    </w:p>
    <w:p>
      <w:pPr>
        <w:pStyle w:val="71"/>
        <w:bidi w:val="0"/>
        <w:rPr>
          <w:rFonts w:hint="eastAsia"/>
          <w:lang w:eastAsia="zh-CN"/>
        </w:rPr>
      </w:pPr>
      <w:bookmarkStart w:id="31" w:name="_Toc4716"/>
      <w:r>
        <w:rPr>
          <w:rFonts w:hint="eastAsia"/>
          <w:lang w:val="en-US" w:eastAsia="zh-CN"/>
        </w:rPr>
        <w:t xml:space="preserve">（三） </w:t>
      </w:r>
      <w:r>
        <w:rPr>
          <w:rFonts w:hint="eastAsia"/>
          <w:lang w:eastAsia="zh-CN"/>
        </w:rPr>
        <w:t>“互联网+”社区未能发挥应有的作用</w:t>
      </w:r>
      <w:bookmarkEnd w:id="31"/>
    </w:p>
    <w:p>
      <w:pPr>
        <w:pStyle w:val="65"/>
        <w:bidi w:val="0"/>
        <w:rPr>
          <w:rFonts w:hint="eastAsia"/>
          <w:lang w:eastAsia="zh-CN"/>
        </w:rPr>
      </w:pPr>
      <w:r>
        <w:rPr>
          <w:rFonts w:hint="eastAsia"/>
          <w:lang w:eastAsia="zh-CN"/>
        </w:rPr>
        <w:t>“互联网+”核心是建立一个完善的信息化平台，这需要强有力的硬件技术支持。目前，我国城市公共服务体系存在很多不足之处，其中很多功能性服务体系还不能满足城市公共服务体系建设的需求。利用信息技术可以提高社会管理效率，降低社会管理成本。然而，由于SF社区项目初期投资过高，限制了项目的实施。例如，在小区内安装摄像头，由于经费有限，无法全部覆盖小区，数据存储时间也有限，超过30天数据就会丢失。SF社区缺乏必要的经费，目前只能维持日常运营，依赖于地方政府和第三方机构的支持。此外，缺乏专业技术人员，也妨碍了SF社区的信息化发展。技术人员不熟练，系统不完善等因素，导致搜集到的数据无法实时上传和存储。这迫使SF社区网格员进行多次操作，降低了他们运用网络信息的积极性，同时，频繁搜集数据也会引起社区居民的反感。</w:t>
      </w:r>
    </w:p>
    <w:p>
      <w:pPr>
        <w:pStyle w:val="71"/>
        <w:bidi w:val="0"/>
        <w:rPr>
          <w:rFonts w:hint="eastAsia"/>
        </w:rPr>
      </w:pPr>
      <w:bookmarkStart w:id="32" w:name="_Toc27495"/>
      <w:r>
        <w:rPr>
          <w:rFonts w:hint="eastAsia"/>
          <w:lang w:val="en-US" w:eastAsia="zh-CN"/>
        </w:rPr>
        <w:t xml:space="preserve">（四） </w:t>
      </w:r>
      <w:r>
        <w:rPr>
          <w:rFonts w:hint="eastAsia"/>
        </w:rPr>
        <w:t>考核评价不全面</w:t>
      </w:r>
      <w:bookmarkEnd w:id="32"/>
    </w:p>
    <w:p>
      <w:pPr>
        <w:pStyle w:val="65"/>
        <w:bidi w:val="0"/>
        <w:ind w:left="0" w:leftChars="0" w:firstLine="480" w:firstLineChars="200"/>
        <w:rPr>
          <w:rFonts w:hint="eastAsia"/>
        </w:rPr>
      </w:pPr>
      <w:r>
        <w:rPr>
          <w:rFonts w:hint="eastAsia"/>
        </w:rPr>
        <w:t>在当前城市社区治理中，评价是提高治理水平的重要手段之一。然而，SF社区的评价存在一些问题，其中最主要的问题是评价不全面。虽然以街镇评价为主要内容的评价模式已经在使用，但是评价过程中却忽略了许多其他社会管理主体，例如共建单位、社会团体、物业公司和居民等。这种评价不全面性使得评价结果的客观性和准确性受到影响，也不利于评价的改进和提升。</w:t>
      </w:r>
    </w:p>
    <w:p>
      <w:pPr>
        <w:pStyle w:val="65"/>
        <w:bidi w:val="0"/>
        <w:ind w:left="0" w:leftChars="0" w:firstLine="480" w:firstLineChars="200"/>
        <w:rPr>
          <w:rFonts w:hint="eastAsia"/>
        </w:rPr>
      </w:pPr>
      <w:r>
        <w:rPr>
          <w:rFonts w:hint="eastAsia"/>
        </w:rPr>
        <w:t>此外，在对城市工作人员进行评价时，SF社区的评价也存在问题。虽然街道部门工作人员和乡镇工作人员都需要进行评分和工作考评，但社区专职工作人员、社区管理员以及退役军人福利岗位的考评则只由社区“两委”班子成员和工作人员进行，而其他社会管理主体的参与则被忽略。这种评价不全面的问题会导致评价结果的不准确和偏颇，也不利于城市社区治理水平的提高。</w:t>
      </w:r>
    </w:p>
    <w:p>
      <w:pPr>
        <w:pStyle w:val="65"/>
        <w:bidi w:val="0"/>
        <w:ind w:left="0" w:leftChars="0" w:firstLine="480" w:firstLineChars="200"/>
        <w:rPr>
          <w:rFonts w:hint="eastAsia" w:eastAsia="宋体"/>
          <w:lang w:eastAsia="zh-CN"/>
        </w:rPr>
      </w:pPr>
      <w:r>
        <w:rPr>
          <w:rFonts w:hint="eastAsia"/>
        </w:rPr>
        <w:t>因此，对于城市社区的评价，需要全面考虑各方面因素，包括所有的社会管理主体，以确保评价的客观性和准确性。</w:t>
      </w:r>
      <w:r>
        <w:rPr>
          <w:rFonts w:hint="eastAsia"/>
          <w:lang w:eastAsia="zh-CN"/>
        </w:rPr>
        <w:t>。</w:t>
      </w:r>
    </w:p>
    <w:p>
      <w:pPr>
        <w:pStyle w:val="70"/>
        <w:bidi w:val="0"/>
        <w:rPr>
          <w:rFonts w:hint="eastAsia"/>
        </w:rPr>
      </w:pPr>
      <w:bookmarkStart w:id="33" w:name="_Toc24703"/>
      <w:r>
        <w:rPr>
          <w:rFonts w:hint="eastAsia"/>
          <w:lang w:val="en-US" w:eastAsia="zh-CN"/>
        </w:rPr>
        <w:t>五、 SF社区</w:t>
      </w:r>
      <w:r>
        <w:rPr>
          <w:rFonts w:hint="eastAsia"/>
        </w:rPr>
        <w:t>城市社区治理存在问题的成因</w:t>
      </w:r>
      <w:bookmarkEnd w:id="33"/>
      <w:r>
        <w:rPr>
          <w:rFonts w:hint="eastAsia"/>
        </w:rPr>
        <w:t xml:space="preserve"> </w:t>
      </w:r>
    </w:p>
    <w:p>
      <w:pPr>
        <w:pStyle w:val="71"/>
        <w:bidi w:val="0"/>
        <w:rPr>
          <w:rFonts w:hint="eastAsia"/>
        </w:rPr>
      </w:pPr>
      <w:bookmarkStart w:id="34" w:name="_Toc31887"/>
      <w:r>
        <w:rPr>
          <w:rFonts w:hint="eastAsia"/>
          <w:lang w:val="en-US" w:eastAsia="zh-CN"/>
        </w:rPr>
        <w:t xml:space="preserve">（一） </w:t>
      </w:r>
      <w:r>
        <w:rPr>
          <w:rFonts w:hint="eastAsia"/>
        </w:rPr>
        <w:t>城市社区居委会职能定位不准确</w:t>
      </w:r>
      <w:bookmarkEnd w:id="34"/>
      <w:r>
        <w:rPr>
          <w:rFonts w:hint="eastAsia"/>
        </w:rPr>
        <w:t xml:space="preserve"> </w:t>
      </w:r>
    </w:p>
    <w:p>
      <w:pPr>
        <w:pStyle w:val="65"/>
        <w:bidi w:val="0"/>
        <w:rPr>
          <w:rFonts w:hint="eastAsia"/>
        </w:rPr>
      </w:pPr>
      <w:r>
        <w:rPr>
          <w:rFonts w:hint="eastAsia"/>
        </w:rPr>
        <w:t xml:space="preserve"> SF社区的规划、建设和发展都以街道为主导，因此，城市社区需要全面接受和执行政府下达的工作，并听从政府的各种指示和安排。社区的“两委”成员经常参加街道办的会议，服从工作安排，接受任务，这是一种自然而然的事情。在这方面，所有工作人员都已经养成了服从街道办的工作风格，并且已经形成了一种“不管有没有道理都得服从”的观念。他们已经养成了一种习惯，即按照上级的要求执行工作。</w:t>
      </w:r>
    </w:p>
    <w:p>
      <w:pPr>
        <w:pStyle w:val="71"/>
        <w:bidi w:val="0"/>
        <w:rPr>
          <w:rFonts w:hint="eastAsia"/>
        </w:rPr>
      </w:pPr>
      <w:bookmarkStart w:id="35" w:name="_Toc1031"/>
      <w:r>
        <w:rPr>
          <w:rFonts w:hint="eastAsia"/>
          <w:lang w:val="en-US" w:eastAsia="zh-CN"/>
        </w:rPr>
        <w:t xml:space="preserve">（二） </w:t>
      </w:r>
      <w:r>
        <w:rPr>
          <w:rFonts w:hint="eastAsia"/>
        </w:rPr>
        <w:t>治理主体多元参与机制缺乏</w:t>
      </w:r>
      <w:bookmarkEnd w:id="35"/>
    </w:p>
    <w:p>
      <w:pPr>
        <w:pStyle w:val="65"/>
        <w:bidi w:val="0"/>
        <w:rPr>
          <w:rFonts w:hint="eastAsia" w:eastAsia="宋体"/>
          <w:lang w:eastAsia="zh-CN"/>
        </w:rPr>
      </w:pPr>
      <w:r>
        <w:rPr>
          <w:rFonts w:hint="eastAsia"/>
        </w:rPr>
        <w:t>从公共治理和协同治理的理论来看，城市社区的治理不能完全依赖于国家，而必须扩大不同治理对象之间的联系和互动，以更广泛的方式吸引更多的社会资源，鼓励市场和第三方参与基层管理。这样，城市社区中的不同利益相关者可以共同为社区的发展出谋划策，使基层发展朝着更好的目标前进。然而，在 SF社区的社会协作管理实践中，发现由于缺乏社会成员的多重参与，社会协作管理效率低下</w:t>
      </w:r>
      <w:r>
        <w:rPr>
          <w:rFonts w:hint="eastAsia"/>
          <w:lang w:eastAsia="zh-CN"/>
        </w:rPr>
        <w:t>。</w:t>
      </w:r>
    </w:p>
    <w:p>
      <w:pPr>
        <w:pStyle w:val="69"/>
        <w:bidi w:val="0"/>
        <w:rPr>
          <w:rFonts w:hint="eastAsia"/>
        </w:rPr>
      </w:pPr>
      <w:bookmarkStart w:id="36" w:name="_Toc18724"/>
      <w:r>
        <w:rPr>
          <w:rFonts w:hint="eastAsia"/>
          <w:lang w:val="en-US" w:eastAsia="zh-CN"/>
        </w:rPr>
        <w:t xml:space="preserve">1. </w:t>
      </w:r>
      <w:r>
        <w:rPr>
          <w:rFonts w:hint="eastAsia"/>
        </w:rPr>
        <w:t>居民参与协同共治的机制不健全</w:t>
      </w:r>
      <w:bookmarkEnd w:id="36"/>
    </w:p>
    <w:p>
      <w:pPr>
        <w:pStyle w:val="6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rPr>
      </w:pPr>
      <w:r>
        <w:rPr>
          <w:rFonts w:hint="eastAsia"/>
        </w:rPr>
        <w:t>经过对SF社区的调研，发现居民对社会管理的参与程度较低。在2020年，大约51%的人没有参与过各类社会团体的工作，21%的人只参与了1-2次社区的社会服务项目，11%的人参与了3-5次，仅有17%的人参与了超过6次的各种</w:t>
      </w:r>
      <w:r>
        <w:rPr>
          <w:rFonts w:hint="eastAsia"/>
          <w:lang w:eastAsia="zh-CN"/>
        </w:rPr>
        <w:t>社区</w:t>
      </w:r>
      <w:r>
        <w:rPr>
          <w:rFonts w:hint="eastAsia"/>
        </w:rPr>
        <w:t>活动。就其参与意愿而言，只有57%的人愿意参与所在地区的管治工作。因此，SF地区的居民对社会管理的认识还不够深入，其对社会管理的影响还需加强，才能更好地发挥社会资源的作用，促进城市社区的发展。</w:t>
      </w:r>
    </w:p>
    <w:p>
      <w:pPr>
        <w:pStyle w:val="69"/>
        <w:bidi w:val="0"/>
        <w:rPr>
          <w:rFonts w:hint="eastAsia"/>
        </w:rPr>
      </w:pPr>
      <w:bookmarkStart w:id="37" w:name="_Toc6708"/>
      <w:r>
        <w:rPr>
          <w:rFonts w:hint="eastAsia"/>
          <w:lang w:val="en-US" w:eastAsia="zh-CN"/>
        </w:rPr>
        <w:t xml:space="preserve">2. </w:t>
      </w:r>
      <w:r>
        <w:rPr>
          <w:rFonts w:hint="eastAsia"/>
        </w:rPr>
        <w:t>共驻共建单位参与协同共治的机制不健全</w:t>
      </w:r>
      <w:bookmarkEnd w:id="37"/>
    </w:p>
    <w:p>
      <w:pPr>
        <w:pStyle w:val="65"/>
        <w:bidi w:val="0"/>
        <w:rPr>
          <w:rFonts w:hint="eastAsia" w:eastAsia="宋体"/>
          <w:lang w:eastAsia="zh-CN"/>
        </w:rPr>
      </w:pPr>
      <w:r>
        <w:rPr>
          <w:rFonts w:hint="eastAsia"/>
        </w:rPr>
        <w:t>在2020年疫情防控期间，SF社区城市社区的共驻共建单位积极参与了社区防疫卡口工作，并对战胜新冠肺炎疫情做出了重要贡献。然而，由于缺乏充分的体制机制来共同治理，每月进行的“联合创建”活动中常常会出现“做表面文章”的情况。同时，由于缺乏清晰的工作目标，各部门的领导很难积极与社区沟通。该社区共有10个共驻共建单位，除了疫情防治工作中各单位的主要领导在自己的工作岗位上巡视之外，仅有2个共驻共建单位的主要负责人在一年内参加了3次或更多的活动。各支部的成员对协同共治的总体热情并不高。在调查过程中，一些社区工作人员向作者反映，尽管他们提交了自己的工作日程，但并未严格按照计划执行，尤其是在社区活动中，更多的是清洁卫生工作。这种情况发生了一次、两次还可以，但如果经常发生，会让居民失去热情。</w:t>
      </w:r>
    </w:p>
    <w:p>
      <w:pPr>
        <w:pStyle w:val="71"/>
        <w:bidi w:val="0"/>
        <w:rPr>
          <w:rFonts w:hint="eastAsia"/>
          <w:lang w:eastAsia="zh-CN"/>
        </w:rPr>
      </w:pPr>
      <w:bookmarkStart w:id="38" w:name="_Toc12693"/>
      <w:r>
        <w:rPr>
          <w:rFonts w:hint="eastAsia"/>
          <w:lang w:val="en-US" w:eastAsia="zh-CN"/>
        </w:rPr>
        <w:t>（三）</w:t>
      </w:r>
      <w:r>
        <w:rPr>
          <w:rFonts w:hint="eastAsia"/>
          <w:lang w:eastAsia="zh-CN"/>
        </w:rPr>
        <w:t>资金、人才短缺，“智慧社区”建设的基础设施不健全</w:t>
      </w:r>
      <w:bookmarkEnd w:id="38"/>
      <w:r>
        <w:rPr>
          <w:rFonts w:hint="eastAsia"/>
          <w:lang w:eastAsia="zh-CN"/>
        </w:rPr>
        <w:t xml:space="preserve"> </w:t>
      </w:r>
    </w:p>
    <w:p>
      <w:pPr>
        <w:pStyle w:val="65"/>
        <w:bidi w:val="0"/>
        <w:rPr>
          <w:rFonts w:hint="eastAsia"/>
          <w:lang w:eastAsia="zh-CN"/>
        </w:rPr>
      </w:pPr>
      <w:r>
        <w:rPr>
          <w:rFonts w:hint="eastAsia"/>
          <w:lang w:eastAsia="zh-CN"/>
        </w:rPr>
        <w:t>社会发展过程中，经费短缺和社会服务人员不足的问题非常突出。尽管国家财政补贴是社会经费的主要来源，但是从近年来的发展情况来看，国家所承受的经济负担过于沉重，而资本存量又相对较少，这是一个普遍的问题。由于缺乏足够的经费，目前我国的社会经济发展水平还远远达不到要求，而且这也使得有才能的人不愿到社会管理的岗位去工作，从而造成了社会服务人员的不足。</w:t>
      </w:r>
    </w:p>
    <w:p>
      <w:pPr>
        <w:pStyle w:val="65"/>
        <w:bidi w:val="0"/>
        <w:rPr>
          <w:rFonts w:hint="eastAsia"/>
          <w:lang w:eastAsia="zh-CN"/>
        </w:rPr>
      </w:pPr>
      <w:r>
        <w:rPr>
          <w:rFonts w:hint="eastAsia"/>
          <w:lang w:eastAsia="zh-CN"/>
        </w:rPr>
        <w:t>此外，企业信息化程度不高，也造成了“信息孤立”的现象。目前，我国的社会管理工作一直以来都是条块分离，各单位各自负责，缺乏整体和协同的力量。这不仅会给国家带来巨大的财政负担，而且还会严重地削弱社会的自治能力。在社会和经济发展步伐持续加快的情况下，每一个小区都需要进行全方位的信息系统的开发，但是在没有一个共同的开发标准的情况下，由于不对称的资讯，很可能会在社会上造成一种多元收集资料的现象。</w:t>
      </w:r>
    </w:p>
    <w:p>
      <w:pPr>
        <w:pStyle w:val="65"/>
        <w:bidi w:val="0"/>
        <w:rPr>
          <w:rFonts w:hint="eastAsia"/>
          <w:lang w:eastAsia="zh-CN"/>
        </w:rPr>
      </w:pPr>
      <w:r>
        <w:rPr>
          <w:rFonts w:hint="eastAsia"/>
          <w:lang w:eastAsia="zh-CN"/>
        </w:rPr>
        <w:t>最后，我国的社会网络建设还处于初级阶段。城市社区的建设还没有形成一个系统的、高效的运作和经营体系，而专门的人才也相对匮乏。目前，大多数的社区工作人员都不属于网络技术方面的高层次的高质量的人才，他们当中的大多数都没有经过专门的训练和考试。在开展工作的时候，他们对各种最新的技术手段只有一丝一毫的了解，这就造成了他们不能在社区的群众中很好地开展对互联网技术的推广和使用。。</w:t>
      </w:r>
    </w:p>
    <w:p>
      <w:pPr>
        <w:pStyle w:val="71"/>
        <w:bidi w:val="0"/>
        <w:rPr>
          <w:rFonts w:hint="eastAsia"/>
          <w:lang w:eastAsia="zh-CN"/>
        </w:rPr>
      </w:pPr>
      <w:bookmarkStart w:id="39" w:name="_Toc6203"/>
      <w:r>
        <w:rPr>
          <w:rFonts w:hint="eastAsia"/>
          <w:lang w:val="en-US" w:eastAsia="zh-CN"/>
        </w:rPr>
        <w:t xml:space="preserve">（四） </w:t>
      </w:r>
      <w:r>
        <w:rPr>
          <w:rFonts w:hint="eastAsia"/>
        </w:rPr>
        <w:t>考核评价</w:t>
      </w:r>
      <w:r>
        <w:rPr>
          <w:rFonts w:hint="eastAsia"/>
          <w:lang w:eastAsia="zh-CN"/>
        </w:rPr>
        <w:t>主体片面</w:t>
      </w:r>
      <w:bookmarkEnd w:id="39"/>
    </w:p>
    <w:p>
      <w:pPr>
        <w:pStyle w:val="65"/>
        <w:bidi w:val="0"/>
        <w:rPr>
          <w:rFonts w:hint="eastAsia"/>
          <w:lang w:eastAsia="zh-CN"/>
        </w:rPr>
      </w:pPr>
      <w:r>
        <w:rPr>
          <w:rFonts w:hint="eastAsia"/>
          <w:lang w:val="en-US" w:eastAsia="zh-CN"/>
        </w:rPr>
        <w:t>SF社区的业绩评价主要涉及个体、群体和组织。由于评价对象的不同，评价结果也会有很大的差异。因此，在采用科学的评价指标和方法的前提下，评价主体的健全性是评价的科学、客观和公正的关键。然而，社区工作人员的业绩评价主体性比较单一，缺乏广泛的参与，并且对评价资料的了解不够充分。政府将社区居民委员会视为政府部门的一个附属组织，在评价中街道办公室自然占据了超过一半以上的评价权，这导致社区人员的自我评价和相互评价缺乏。此外，社区内部的其他组织，如中小企业、社区民间组织等，也未能充分参与评价主体活动。因此，需要通过改革评价机制，加强对社区人员的参与和对其他组织的重视，实现科学、客观、公正的评价</w:t>
      </w:r>
      <w:r>
        <w:rPr>
          <w:rFonts w:hint="eastAsia"/>
          <w:lang w:eastAsia="zh-CN"/>
        </w:rPr>
        <w:t>。</w:t>
      </w:r>
    </w:p>
    <w:p>
      <w:pPr>
        <w:pStyle w:val="70"/>
        <w:bidi w:val="0"/>
        <w:rPr>
          <w:rFonts w:hint="eastAsia"/>
          <w:lang w:eastAsia="zh-CN"/>
        </w:rPr>
      </w:pPr>
      <w:bookmarkStart w:id="40" w:name="_Toc9416"/>
      <w:r>
        <w:rPr>
          <w:rFonts w:hint="eastAsia"/>
          <w:lang w:val="en-US" w:eastAsia="zh-CN"/>
        </w:rPr>
        <w:t>六、SF社区</w:t>
      </w:r>
      <w:r>
        <w:rPr>
          <w:rFonts w:hint="eastAsia"/>
          <w:lang w:eastAsia="zh-CN"/>
        </w:rPr>
        <w:t>城市社区治理完善对策</w:t>
      </w:r>
      <w:bookmarkEnd w:id="40"/>
    </w:p>
    <w:p>
      <w:pPr>
        <w:pStyle w:val="71"/>
        <w:bidi w:val="0"/>
        <w:rPr>
          <w:rFonts w:hint="eastAsia"/>
        </w:rPr>
      </w:pPr>
      <w:bookmarkStart w:id="41" w:name="_Toc21079"/>
      <w:r>
        <w:rPr>
          <w:rFonts w:hint="eastAsia"/>
          <w:lang w:val="en-US" w:eastAsia="zh-CN"/>
        </w:rPr>
        <w:t xml:space="preserve">（一） </w:t>
      </w:r>
      <w:r>
        <w:rPr>
          <w:rFonts w:hint="eastAsia"/>
        </w:rPr>
        <w:t>切实转变街道办职能</w:t>
      </w:r>
      <w:bookmarkEnd w:id="41"/>
    </w:p>
    <w:p>
      <w:pPr>
        <w:pStyle w:val="65"/>
        <w:bidi w:val="0"/>
        <w:rPr>
          <w:rFonts w:hint="eastAsia"/>
        </w:rPr>
      </w:pPr>
      <w:r>
        <w:rPr>
          <w:rFonts w:hint="eastAsia"/>
        </w:rPr>
        <w:t>SF社区目前存在的问题是缺乏有效的社区治理机制，需要建立一套健全的社区治理体系。</w:t>
      </w:r>
    </w:p>
    <w:p>
      <w:pPr>
        <w:pStyle w:val="65"/>
        <w:bidi w:val="0"/>
        <w:rPr>
          <w:rFonts w:hint="eastAsia"/>
        </w:rPr>
      </w:pPr>
      <w:r>
        <w:rPr>
          <w:rFonts w:hint="eastAsia"/>
        </w:rPr>
        <w:t>首先，要加强社区组织的建设，建立社区自治组织，增强社区自我管理和服务的能力，推进社区治理体系的建设。同时，要推动城市社区工作项目准入制度的建立，明确城市居民委员会所涉及的工作类型，避免将行政事务与城市社会工作混淆，从而提升城市居民委员会的工作效率。</w:t>
      </w:r>
    </w:p>
    <w:p>
      <w:pPr>
        <w:pStyle w:val="65"/>
        <w:bidi w:val="0"/>
        <w:rPr>
          <w:rFonts w:hint="eastAsia"/>
        </w:rPr>
      </w:pPr>
      <w:r>
        <w:rPr>
          <w:rFonts w:hint="eastAsia"/>
        </w:rPr>
        <w:t>其次，需要强化 SF街道办事处的工作责任心，落实基层组织机构的职能定位，划分社区居民委员会的职能范围，防止城市居委会被划归到不应该涉及的行政执法范畴内，增强环保等方面的职责，取消城市居民委员会“一票否决”的权力，以便更好地发挥社区的治理作用。</w:t>
      </w:r>
    </w:p>
    <w:p>
      <w:pPr>
        <w:pStyle w:val="65"/>
        <w:bidi w:val="0"/>
        <w:rPr>
          <w:rFonts w:hint="eastAsia"/>
        </w:rPr>
      </w:pPr>
      <w:r>
        <w:rPr>
          <w:rFonts w:hint="eastAsia"/>
          <w:lang w:eastAsia="zh-CN"/>
        </w:rPr>
        <w:t>最后</w:t>
      </w:r>
      <w:r>
        <w:rPr>
          <w:rFonts w:hint="eastAsia"/>
        </w:rPr>
        <w:t>，SF社区办要加强对社区的服务和引导工作，跟踪和引导已经移交给社区的公共服务，协助社区解决难题，维护社会治安和安定。此外，在城市社会组织的职能转换中，要把社会组织的工作重点放在为城市社区提供公共产品和服务上，并加强对社会组织的管理，使城市社区治理能够更好地服务大众，在自治问题上主动下放权力，让城市社区治理更好地实现自我管理。通过这些措施，可以逐步建立健全的社区治理体系，提升社区管理的效率和水平。</w:t>
      </w:r>
    </w:p>
    <w:p>
      <w:pPr>
        <w:pStyle w:val="71"/>
        <w:bidi w:val="0"/>
        <w:rPr>
          <w:rFonts w:hint="eastAsia"/>
        </w:rPr>
      </w:pPr>
      <w:bookmarkStart w:id="42" w:name="_Toc20979"/>
      <w:r>
        <w:rPr>
          <w:rFonts w:hint="eastAsia"/>
          <w:lang w:val="en-US" w:eastAsia="zh-CN"/>
        </w:rPr>
        <w:t xml:space="preserve">（二） </w:t>
      </w:r>
      <w:r>
        <w:rPr>
          <w:rFonts w:hint="eastAsia"/>
          <w:lang w:eastAsia="zh-CN"/>
        </w:rPr>
        <w:t>健全</w:t>
      </w:r>
      <w:r>
        <w:rPr>
          <w:rFonts w:hint="eastAsia"/>
        </w:rPr>
        <w:t>治理主体多元参与机制</w:t>
      </w:r>
      <w:bookmarkEnd w:id="42"/>
    </w:p>
    <w:p>
      <w:pPr>
        <w:pStyle w:val="69"/>
        <w:bidi w:val="0"/>
        <w:rPr>
          <w:rFonts w:hint="eastAsia"/>
        </w:rPr>
      </w:pPr>
      <w:bookmarkStart w:id="43" w:name="_Toc1821"/>
      <w:r>
        <w:rPr>
          <w:rFonts w:hint="eastAsia"/>
          <w:lang w:val="en-US" w:eastAsia="zh-CN"/>
        </w:rPr>
        <w:t xml:space="preserve">1. </w:t>
      </w:r>
      <w:r>
        <w:rPr>
          <w:rFonts w:hint="eastAsia"/>
        </w:rPr>
        <w:t>积极引导居民参与社区活动与管理</w:t>
      </w:r>
      <w:bookmarkEnd w:id="43"/>
    </w:p>
    <w:p>
      <w:pPr>
        <w:pStyle w:val="65"/>
        <w:bidi w:val="0"/>
        <w:rPr>
          <w:rFonts w:hint="eastAsia" w:eastAsia="宋体"/>
          <w:lang w:eastAsia="zh-CN"/>
        </w:rPr>
      </w:pPr>
      <w:r>
        <w:rPr>
          <w:rFonts w:hint="eastAsia"/>
        </w:rPr>
        <w:t>政府的利益激励举措在很大程度上会影响居民参与社区治理的积极性，从而提高他们的参与水平。要想达到这个目的，首先需要健全社区群众对社会事务的管理体制，这就需要不断完善和改进各种法律法规，以激发社区群众的热情，使他们能够感受到社会管理所带来的幸福感。其次，需要不断创新社区居民的参与形式和手段，根据个人和事件的不同情况，主动激励社区居民参与各种不同的社区工作和志愿者活动，充分发挥居民参与的积极性，并指导他们自发组织社区志愿服务。最后，需要培育和使用作为社会服务中坚的人才，持续扩展社会服务机构的覆盖面，让更多的社会成员参与进来，实现“双赢”的目标，并对优秀的住户进行物质上的表彰。这些措施都有助于提高居民参与社区治理的积极性和水平。</w:t>
      </w:r>
    </w:p>
    <w:p>
      <w:pPr>
        <w:pStyle w:val="69"/>
        <w:bidi w:val="0"/>
        <w:rPr>
          <w:rFonts w:hint="eastAsia"/>
        </w:rPr>
      </w:pPr>
      <w:bookmarkStart w:id="44" w:name="_Toc12026"/>
      <w:r>
        <w:rPr>
          <w:rFonts w:hint="eastAsia"/>
          <w:lang w:val="en-US" w:eastAsia="zh-CN"/>
        </w:rPr>
        <w:t xml:space="preserve">2. </w:t>
      </w:r>
      <w:r>
        <w:rPr>
          <w:rFonts w:hint="eastAsia"/>
        </w:rPr>
        <w:t>发挥社会力量，培育社会中介组织</w:t>
      </w:r>
      <w:bookmarkEnd w:id="44"/>
    </w:p>
    <w:p>
      <w:pPr>
        <w:pStyle w:val="65"/>
        <w:bidi w:val="0"/>
        <w:rPr>
          <w:rFonts w:hint="eastAsia"/>
        </w:rPr>
      </w:pPr>
      <w:r>
        <w:rPr>
          <w:rFonts w:hint="eastAsia"/>
        </w:rPr>
        <w:t>目前我国城市社区治理的现状表明，社区中介组织在城市社区治理中发挥着至关重要的作用，因为它们直接关系到人民的生活和工作，能够为人们带来便利。要加强我国社会服务机构，必须从国家层面提供相应的政策扶持。首先，要为社区工作的发展提供强有力的保障，将更多的公共权力下放到社区，使社区组织机构能够更好地发挥职能，以满足社会团体发展的需要。其次，要推进以社区为重点的社会团体发展，在加强对社区组织管理的同时提高管理水平。要采取行之有效的方式，大力提升社区机构的服务质量，增强社区机构的信任，提高政府的美誉度。最后，要积极引导社会团体积极参加社会服务和治理活动。</w:t>
      </w:r>
    </w:p>
    <w:p>
      <w:pPr>
        <w:pStyle w:val="71"/>
        <w:bidi w:val="0"/>
        <w:rPr>
          <w:rFonts w:hint="eastAsia"/>
        </w:rPr>
      </w:pPr>
      <w:bookmarkStart w:id="45" w:name="_Toc29813"/>
      <w:r>
        <w:rPr>
          <w:rFonts w:hint="eastAsia"/>
          <w:lang w:val="en-US" w:eastAsia="zh-CN"/>
        </w:rPr>
        <w:t xml:space="preserve">（三） </w:t>
      </w:r>
      <w:r>
        <w:rPr>
          <w:rFonts w:hint="eastAsia"/>
        </w:rPr>
        <w:t>加大对信息化建设的支撑力度</w:t>
      </w:r>
      <w:r>
        <w:rPr>
          <w:rFonts w:hint="eastAsia"/>
          <w:lang w:eastAsia="zh-CN"/>
        </w:rPr>
        <w:t>，</w:t>
      </w:r>
      <w:r>
        <w:rPr>
          <w:rFonts w:hint="eastAsia"/>
        </w:rPr>
        <w:t>发挥信息化在社区治理中的作用</w:t>
      </w:r>
      <w:bookmarkEnd w:id="45"/>
    </w:p>
    <w:p>
      <w:pPr>
        <w:pStyle w:val="65"/>
        <w:bidi w:val="0"/>
        <w:rPr>
          <w:rFonts w:hint="eastAsia"/>
        </w:rPr>
      </w:pPr>
      <w:r>
        <w:rPr>
          <w:rFonts w:hint="eastAsia"/>
        </w:rPr>
        <w:t>在我国，政务信息平台可以被社区和政府部门利用来公开他们的工作。这个平台可以让人民通过正式渠道了解政府政策信息，确保他们在生活和生产中能够充分享受政府的优惠。随着科技的发展，智能手机在日常生活和生产中变得越来越重要。通过信息化方式，政府可以扩大政务系统的普及程度，与人民进行点对点沟通，及时发现并处理问题。同时，新兴的互联网技术，如大数据和云计算，也可以提高政府办公系统的自动化水平，维持各功能部门之间良好的信息交流，实现便利快速的工作。</w:t>
      </w:r>
    </w:p>
    <w:p>
      <w:pPr>
        <w:pStyle w:val="65"/>
        <w:bidi w:val="0"/>
        <w:rPr>
          <w:rFonts w:hint="eastAsia"/>
        </w:rPr>
      </w:pPr>
      <w:r>
        <w:rPr>
          <w:rFonts w:hint="eastAsia"/>
        </w:rPr>
        <w:t>因此，在信息化时代，智慧社区的建设至关重要。它可以以更便捷、高效的方式将政府的工作职能和办理事项呈现在网络上，打开政府和民众之间的交流障碍。我们正处于一个经济快速发展的重要阶段，对于国家的各种政策方针的制订，需要在第一时间传递到整个社会，让人民能够及时了解。因此，电子政务系统能够发挥便利作用。利用电子政务系统，可以更深层次地完善公共和公共服务过程，清晰地界定各部门的岗位职责范围，提高政府职能机关的总体做事效率，让人民对自己的工作有一个清晰的认识。这可以有效消除各个部门互相推诿责任的现象，让政府在人民心目中建立良好的服务形象。</w:t>
      </w:r>
    </w:p>
    <w:p>
      <w:pPr>
        <w:pStyle w:val="71"/>
        <w:bidi w:val="0"/>
        <w:rPr>
          <w:rFonts w:hint="eastAsia"/>
        </w:rPr>
      </w:pPr>
      <w:bookmarkStart w:id="46" w:name="_Toc14941"/>
      <w:r>
        <w:rPr>
          <w:rFonts w:hint="eastAsia"/>
          <w:lang w:val="en-US" w:eastAsia="zh-CN"/>
        </w:rPr>
        <w:t xml:space="preserve">（四） </w:t>
      </w:r>
      <w:r>
        <w:rPr>
          <w:rFonts w:hint="eastAsia"/>
        </w:rPr>
        <w:t>选取具有代表性的评价主体</w:t>
      </w:r>
      <w:bookmarkEnd w:id="46"/>
    </w:p>
    <w:p>
      <w:pPr>
        <w:pStyle w:val="65"/>
        <w:bidi w:val="0"/>
        <w:rPr>
          <w:rFonts w:hint="eastAsia"/>
        </w:rPr>
      </w:pPr>
      <w:r>
        <w:rPr>
          <w:rFonts w:hint="eastAsia"/>
        </w:rPr>
        <w:t>社区工作人员的评价是社区管理工作中的重要环节。为了确保评价的客观性和公平性，应以“群众满意”为中心，将其确定为主要评价对象。评价的覆盖面也应尽可能广泛，以便更多居民能够参与评价，并保证参与评价的居民具有一定的代表性。这可以通过采取分层取样的方式，根据不同的年龄段对社区居民进行分类，从而获得各年龄段人口所需的样本容量，确保评价结果的有效性。</w:t>
      </w:r>
    </w:p>
    <w:p>
      <w:pPr>
        <w:pStyle w:val="65"/>
        <w:bidi w:val="0"/>
        <w:rPr>
          <w:rFonts w:hint="eastAsia"/>
        </w:rPr>
      </w:pPr>
      <w:r>
        <w:rPr>
          <w:rFonts w:hint="eastAsia"/>
        </w:rPr>
        <w:t>在社区中，不同的年龄段居民之间存在着很大的个人差异，例如年龄、知识、阅历等。因此，在选择居民代表时，应该充分考虑这些差异，并根据实际情况将居民划分为老年、中年和青少年三个年龄段，然后根据各年龄段人口所占比重来划分各年龄段人口的样本比重。这样可以保证评价结果的代表性和覆盖面。</w:t>
      </w:r>
    </w:p>
    <w:p>
      <w:pPr>
        <w:pStyle w:val="65"/>
        <w:bidi w:val="0"/>
        <w:rPr>
          <w:rFonts w:hint="eastAsia" w:eastAsia="宋体"/>
          <w:lang w:eastAsia="zh-CN"/>
        </w:rPr>
      </w:pPr>
      <w:r>
        <w:rPr>
          <w:rFonts w:hint="eastAsia"/>
        </w:rPr>
        <w:t>评价的内容应包括评价对象的确定与选择，因为这直接关系到评价结果的有效性。为此，应该采用某些随机取样的程序，从各个年龄段中选取参加评价的居民。只有这样，才能确保评价结果的客观性和公平性，避免评价只是走过场，流于形式的情况发生。通过这些措施，社区工作人员的评价将更加客观、准确，也更有利于提高居民的生活质量。</w:t>
      </w:r>
    </w:p>
    <w:p>
      <w:pPr>
        <w:rPr>
          <w:rFonts w:hint="eastAsia"/>
          <w:lang w:eastAsia="zh-CN"/>
        </w:rPr>
      </w:pPr>
      <w:r>
        <w:rPr>
          <w:rFonts w:hint="eastAsia"/>
          <w:lang w:eastAsia="zh-CN"/>
        </w:rPr>
        <w:br w:type="page"/>
      </w:r>
    </w:p>
    <w:p>
      <w:pPr>
        <w:pStyle w:val="70"/>
        <w:bidi w:val="0"/>
        <w:rPr>
          <w:rFonts w:hint="eastAsia"/>
          <w:lang w:eastAsia="zh-CN"/>
        </w:rPr>
      </w:pPr>
      <w:bookmarkStart w:id="47" w:name="_Toc27656"/>
      <w:r>
        <w:rPr>
          <w:rFonts w:hint="eastAsia"/>
          <w:lang w:eastAsia="zh-CN"/>
        </w:rPr>
        <w:t>结语</w:t>
      </w:r>
      <w:bookmarkEnd w:id="47"/>
    </w:p>
    <w:p>
      <w:pPr>
        <w:pStyle w:val="65"/>
        <w:bidi w:val="0"/>
        <w:rPr>
          <w:rFonts w:hint="eastAsia"/>
          <w:color w:val="auto"/>
        </w:rPr>
      </w:pPr>
      <w:r>
        <w:rPr>
          <w:rFonts w:hint="eastAsia"/>
          <w:color w:val="auto"/>
        </w:rPr>
        <w:t>本文提供了若干新思路，旨在有效解决SF社区治理中存在的问题，同时分析了问题产生的根本原因。这些思路不仅为SF社区治理提供了有益的启示，也为国内其他类似城市社区管理提供了参考。通过借鉴国际上一些成熟城市管理的成功案例，完善社会公共管理的多元化参与体系，加强对基层社会组织的支持，充分利用基层社会组织的信息资源，选择有代表意义的评估对象等问题的探讨，本文初步提出了一些解决城市社区治理问题的措施。</w:t>
      </w:r>
    </w:p>
    <w:p>
      <w:pPr>
        <w:pStyle w:val="65"/>
        <w:bidi w:val="0"/>
        <w:rPr>
          <w:rFonts w:hint="eastAsia" w:eastAsia="宋体"/>
          <w:lang w:eastAsia="zh-CN"/>
        </w:rPr>
      </w:pPr>
      <w:r>
        <w:rPr>
          <w:rFonts w:hint="eastAsia"/>
          <w:color w:val="auto"/>
        </w:rPr>
        <w:t>然而，由于自身的理论层次、所涉及的个案较少、对城市社区治理的认识不够深刻等因素，本研究仍有许多缺陷，需要进一步改善和提高。未来，我们将继续高度重视关于城市社区治理的相关研究，并将其用于进一步优化城市社区治理，解决其中存在的问题。</w:t>
      </w:r>
    </w:p>
    <w:p>
      <w:pPr>
        <w:pStyle w:val="65"/>
        <w:bidi w:val="0"/>
        <w:ind w:left="0" w:leftChars="0" w:firstLine="0" w:firstLineChars="0"/>
        <w:rPr>
          <w:rFonts w:hint="eastAsia"/>
          <w:lang w:val="en-US" w:eastAsia="zh-CN"/>
        </w:rPr>
      </w:pPr>
      <w:r>
        <w:rPr>
          <w:rFonts w:hint="eastAsia"/>
          <w:lang w:val="en-US" w:eastAsia="zh-CN"/>
        </w:rPr>
        <w:br w:type="page"/>
      </w:r>
    </w:p>
    <w:bookmarkEnd w:id="9"/>
    <w:bookmarkEnd w:id="10"/>
    <w:p>
      <w:pPr>
        <w:pStyle w:val="67"/>
      </w:pPr>
      <w:bookmarkStart w:id="48" w:name="_Toc4032"/>
      <w:bookmarkStart w:id="49" w:name="_Toc6133"/>
      <w:bookmarkStart w:id="50" w:name="_Toc15487"/>
      <w:bookmarkStart w:id="51" w:name="_Toc102939319"/>
      <w:bookmarkStart w:id="52" w:name="_Toc5327"/>
      <w:bookmarkStart w:id="53" w:name="_Toc510"/>
      <w:bookmarkStart w:id="54" w:name="_Toc27090"/>
      <w:r>
        <w:t>参考文献</w:t>
      </w:r>
      <w:bookmarkEnd w:id="48"/>
      <w:bookmarkEnd w:id="49"/>
      <w:bookmarkEnd w:id="50"/>
      <w:bookmarkEnd w:id="51"/>
      <w:bookmarkEnd w:id="52"/>
      <w:bookmarkEnd w:id="53"/>
      <w:bookmarkEnd w:id="54"/>
    </w:p>
    <w:p>
      <w:pPr>
        <w:pStyle w:val="65"/>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eastAsia" w:ascii="宋体" w:hAnsi="宋体" w:eastAsia="宋体" w:cs="宋体"/>
          <w:sz w:val="21"/>
          <w:szCs w:val="21"/>
        </w:rPr>
      </w:pPr>
      <w:bookmarkStart w:id="55" w:name="_Ref12867"/>
      <w:r>
        <w:rPr>
          <w:rFonts w:hint="eastAsia" w:ascii="宋体" w:hAnsi="宋体" w:eastAsia="宋体" w:cs="宋体"/>
          <w:sz w:val="21"/>
          <w:szCs w:val="21"/>
        </w:rPr>
        <w:t>李广德. 社区治理现代化转型及其路径[J].山东社会科学，2016( 10):77-84.</w:t>
      </w:r>
      <w:bookmarkEnd w:id="55"/>
    </w:p>
    <w:p>
      <w:pPr>
        <w:pStyle w:val="65"/>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eastAsia" w:ascii="宋体" w:hAnsi="宋体" w:eastAsia="宋体" w:cs="宋体"/>
          <w:sz w:val="21"/>
          <w:szCs w:val="21"/>
        </w:rPr>
      </w:pPr>
      <w:bookmarkStart w:id="56" w:name="_Ref12883"/>
      <w:r>
        <w:rPr>
          <w:rFonts w:hint="eastAsia" w:ascii="宋体" w:hAnsi="宋体" w:eastAsia="宋体" w:cs="宋体"/>
          <w:sz w:val="21"/>
          <w:szCs w:val="21"/>
        </w:rPr>
        <w:t>杨旭.社区治理现代化与法治化政策建议[J.开放导报，2017(06):7-11.</w:t>
      </w:r>
      <w:bookmarkEnd w:id="56"/>
    </w:p>
    <w:p>
      <w:pPr>
        <w:pStyle w:val="65"/>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张艳国，刘小钧.十八大以来我国社区治理的新常态[J].社会主义研究，2015(05):103-109.</w:t>
      </w:r>
    </w:p>
    <w:p>
      <w:pPr>
        <w:pStyle w:val="65"/>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薛金礼.论城乡社区治理现代化的路径一--以百城建设提质工程为例[J].中国集体经济，2018(14):1-2.</w:t>
      </w:r>
    </w:p>
    <w:p>
      <w:pPr>
        <w:pStyle w:val="65"/>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李梅，张毅.“互联网+”驱动智慧社区发展路径研究[J].中国房地产，2017(33):54-62.</w:t>
      </w:r>
    </w:p>
    <w:p>
      <w:pPr>
        <w:pStyle w:val="65"/>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程镝,董芮彤.新时代城市社区多元主体治理协同度评价研究——基于H市S社区的实证调查[J].行政论坛,2022,29(06):102-108.</w:t>
      </w:r>
    </w:p>
    <w:p>
      <w:pPr>
        <w:pStyle w:val="65"/>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熊文瑾.新时代中国城市社区治理研究综述[J].中国井冈山干部学院学报,2022,15(04):138-144.</w:t>
      </w:r>
    </w:p>
    <w:p>
      <w:pPr>
        <w:pStyle w:val="65"/>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全昌平,王仁兴.新时代城市社区治理研究[J].海峡科技与产业,2022,35(02):60-62.</w:t>
      </w:r>
    </w:p>
    <w:p>
      <w:pPr>
        <w:pStyle w:val="65"/>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谭牧.新时代提升城市社区治理能力研究[J].科学社会主义,2021(02):97-101.</w:t>
      </w:r>
    </w:p>
    <w:p>
      <w:pPr>
        <w:pStyle w:val="65"/>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textAlignment w:val="auto"/>
        <w:rPr>
          <w:rFonts w:hint="eastAsia" w:ascii="宋体" w:hAnsi="宋体" w:eastAsia="宋体" w:cs="宋体"/>
          <w:sz w:val="21"/>
          <w:szCs w:val="21"/>
        </w:rPr>
      </w:pPr>
      <w:r>
        <w:rPr>
          <w:rFonts w:hint="eastAsia" w:ascii="宋体" w:hAnsi="宋体" w:eastAsia="宋体" w:cs="宋体"/>
          <w:sz w:val="21"/>
          <w:szCs w:val="21"/>
        </w:rPr>
        <w:t>李君怡.新时代城市社区治理创新研究[J].才智,2021(08):1-3.</w:t>
      </w:r>
    </w:p>
    <w:p>
      <w:pPr>
        <w:pStyle w:val="2"/>
        <w:widowControl w:val="0"/>
        <w:numPr>
          <w:ilvl w:val="0"/>
          <w:numId w:val="0"/>
        </w:numPr>
        <w:spacing w:before="120" w:line="360" w:lineRule="auto"/>
        <w:jc w:val="both"/>
      </w:pPr>
    </w:p>
    <w:p>
      <w:pPr>
        <w:rPr>
          <w:rFonts w:eastAsia="黑体"/>
          <w:b/>
          <w:sz w:val="36"/>
          <w:szCs w:val="36"/>
        </w:rPr>
      </w:pPr>
      <w:bookmarkStart w:id="57" w:name="_Toc9878"/>
      <w:bookmarkStart w:id="58" w:name="_Toc26215"/>
      <w:bookmarkStart w:id="59" w:name="_Toc19640"/>
      <w:bookmarkStart w:id="60" w:name="_Toc10921"/>
      <w:bookmarkStart w:id="61" w:name="_Toc15003"/>
      <w:bookmarkStart w:id="62" w:name="_Toc27638"/>
      <w:bookmarkStart w:id="63" w:name="_Toc5202"/>
      <w:bookmarkStart w:id="64" w:name="_Toc1459"/>
      <w:bookmarkStart w:id="65" w:name="_Toc74865337"/>
      <w:r>
        <w:rPr>
          <w:rFonts w:eastAsia="黑体"/>
          <w:b/>
          <w:sz w:val="36"/>
          <w:szCs w:val="36"/>
        </w:rPr>
        <w:br w:type="page"/>
      </w:r>
    </w:p>
    <w:p>
      <w:pPr>
        <w:pStyle w:val="3"/>
      </w:pPr>
      <w:bookmarkStart w:id="66" w:name="_Toc8522"/>
      <w:r>
        <w:t>致  谢</w:t>
      </w:r>
      <w:bookmarkEnd w:id="57"/>
      <w:bookmarkEnd w:id="58"/>
      <w:bookmarkEnd w:id="59"/>
      <w:bookmarkEnd w:id="60"/>
      <w:bookmarkEnd w:id="61"/>
      <w:bookmarkEnd w:id="62"/>
      <w:bookmarkEnd w:id="63"/>
      <w:bookmarkEnd w:id="64"/>
      <w:bookmarkEnd w:id="65"/>
      <w:bookmarkEnd w:id="66"/>
    </w:p>
    <w:p>
      <w:pPr>
        <w:pStyle w:val="31"/>
        <w:spacing w:before="0" w:beforeAutospacing="0" w:after="0" w:afterAutospacing="0"/>
        <w:ind w:firstLine="480" w:firstLineChars="200"/>
        <w:textAlignment w:val="baseline"/>
        <w:rPr>
          <w:rFonts w:hint="eastAsia" w:ascii="Times New Roman" w:hAnsi="Times New Roman" w:cs="Times New Roman"/>
        </w:rPr>
      </w:pPr>
      <w:r>
        <w:rPr>
          <w:rFonts w:hint="eastAsia" w:ascii="Times New Roman" w:hAnsi="Times New Roman" w:cs="Times New Roman"/>
        </w:rPr>
        <w:t>我即将结束珍贵的大学生活，身为广东开放大学的学子，我感到非常自豪，也对未来的生活充满期待。回顾这段本科岁月，我心中充满了感慨。</w:t>
      </w:r>
    </w:p>
    <w:p>
      <w:pPr>
        <w:pStyle w:val="31"/>
        <w:spacing w:before="0" w:beforeAutospacing="0" w:after="0" w:afterAutospacing="0"/>
        <w:ind w:firstLine="480" w:firstLineChars="200"/>
        <w:textAlignment w:val="baseline"/>
        <w:rPr>
          <w:rFonts w:hint="eastAsia" w:ascii="Times New Roman" w:hAnsi="Times New Roman" w:cs="Times New Roman"/>
        </w:rPr>
      </w:pPr>
      <w:r>
        <w:rPr>
          <w:rFonts w:hint="eastAsia" w:ascii="Times New Roman" w:hAnsi="Times New Roman" w:cs="Times New Roman"/>
        </w:rPr>
        <w:t>首先，我要感谢我的指导老师</w:t>
      </w:r>
      <w:r>
        <w:rPr>
          <w:rFonts w:hint="eastAsia" w:ascii="Times New Roman" w:hAnsi="Times New Roman" w:cs="Times New Roman"/>
          <w:lang w:eastAsia="zh-CN"/>
        </w:rPr>
        <w:t>邓洁莹</w:t>
      </w:r>
      <w:r>
        <w:rPr>
          <w:rFonts w:hint="eastAsia" w:ascii="Times New Roman" w:hAnsi="Times New Roman" w:cs="Times New Roman"/>
        </w:rPr>
        <w:t>老师，她对我们的论文指导非常认真负责，从论文总体架构到格式，都给予了我深入的指导。在不断修正论文的过程中，我意识到论文写作的艰辛，更加深刻地体会到了导师的辛苦。</w:t>
      </w:r>
    </w:p>
    <w:p>
      <w:pPr>
        <w:pStyle w:val="31"/>
        <w:spacing w:before="0" w:beforeAutospacing="0" w:after="0" w:afterAutospacing="0"/>
        <w:ind w:firstLine="480" w:firstLineChars="200"/>
        <w:textAlignment w:val="baseline"/>
        <w:rPr>
          <w:rFonts w:hint="eastAsia" w:ascii="Times New Roman" w:hAnsi="Times New Roman" w:cs="Times New Roman"/>
        </w:rPr>
      </w:pPr>
      <w:r>
        <w:rPr>
          <w:rFonts w:hint="eastAsia" w:ascii="Times New Roman" w:hAnsi="Times New Roman" w:cs="Times New Roman"/>
        </w:rPr>
        <w:t>我也要感谢广东开放大学全体老师，没有他们的辛勤教导和努力，我不可能顺利毕业。在求学的道路上，我不仅学到了专业知识，也领悟到更广阔的人生观。在我的人生旅途中，我将永远铭记我的导师的教诲，我的同学的帮助，以及我的家人对我的爱护。</w:t>
      </w:r>
    </w:p>
    <w:p>
      <w:pPr>
        <w:pStyle w:val="31"/>
        <w:spacing w:before="0" w:beforeAutospacing="0" w:after="0" w:afterAutospacing="0"/>
        <w:ind w:firstLine="480" w:firstLineChars="200"/>
        <w:textAlignment w:val="baseline"/>
        <w:rPr>
          <w:rFonts w:hint="eastAsia" w:ascii="Times New Roman" w:hAnsi="Times New Roman" w:cs="Times New Roman"/>
        </w:rPr>
      </w:pPr>
      <w:r>
        <w:rPr>
          <w:rFonts w:hint="eastAsia" w:ascii="Times New Roman" w:hAnsi="Times New Roman" w:cs="Times New Roman"/>
        </w:rPr>
        <w:t>最后，我要向那些花费大量时间审阅这篇文章的各位老师表示最诚挚的感谢。</w:t>
      </w:r>
    </w:p>
    <w:p>
      <w:pPr>
        <w:rPr>
          <w:rFonts w:hint="eastAsia" w:ascii="Times New Roman" w:hAnsi="Times New Roman" w:cs="Times New Roman"/>
        </w:rPr>
      </w:pPr>
    </w:p>
    <w:sectPr>
      <w:footerReference r:id="rId8" w:type="default"/>
      <w:footerReference r:id="rId9" w:type="even"/>
      <w:pgSz w:w="11906" w:h="16838"/>
      <w:pgMar w:top="1440" w:right="1247" w:bottom="1440" w:left="1701" w:header="964" w:footer="851" w:gutter="0"/>
      <w:pgNumType w:fmt="decimal"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firstLine="420"/>
      <w:rPr>
        <w:rFonts w:ascii="宋体" w:hAnsi="宋体"/>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spacing w:line="36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70E28"/>
    <w:multiLevelType w:val="singleLevel"/>
    <w:tmpl w:val="99B70E28"/>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MzhmN2VhNzQxNTViMmFmODQxZDM1NmIwM2M3NGIifQ=="/>
  </w:docVars>
  <w:rsids>
    <w:rsidRoot w:val="000C78FE"/>
    <w:rsid w:val="00005802"/>
    <w:rsid w:val="00006890"/>
    <w:rsid w:val="00006B12"/>
    <w:rsid w:val="0000771C"/>
    <w:rsid w:val="00012C63"/>
    <w:rsid w:val="000131B8"/>
    <w:rsid w:val="000179E8"/>
    <w:rsid w:val="000224C3"/>
    <w:rsid w:val="000307A0"/>
    <w:rsid w:val="000340DB"/>
    <w:rsid w:val="000350EF"/>
    <w:rsid w:val="00036501"/>
    <w:rsid w:val="000368C5"/>
    <w:rsid w:val="0003797F"/>
    <w:rsid w:val="0004355F"/>
    <w:rsid w:val="00047EFB"/>
    <w:rsid w:val="000508BA"/>
    <w:rsid w:val="00057E2C"/>
    <w:rsid w:val="000602F9"/>
    <w:rsid w:val="00064D31"/>
    <w:rsid w:val="0006731E"/>
    <w:rsid w:val="0006740B"/>
    <w:rsid w:val="000701F8"/>
    <w:rsid w:val="00077874"/>
    <w:rsid w:val="0008677D"/>
    <w:rsid w:val="00086980"/>
    <w:rsid w:val="00087E60"/>
    <w:rsid w:val="00092447"/>
    <w:rsid w:val="00092EA8"/>
    <w:rsid w:val="000949B1"/>
    <w:rsid w:val="0009575D"/>
    <w:rsid w:val="0009585B"/>
    <w:rsid w:val="00097F13"/>
    <w:rsid w:val="000A52C6"/>
    <w:rsid w:val="000A53AC"/>
    <w:rsid w:val="000A6348"/>
    <w:rsid w:val="000A6B60"/>
    <w:rsid w:val="000B3388"/>
    <w:rsid w:val="000B4343"/>
    <w:rsid w:val="000B625D"/>
    <w:rsid w:val="000C309F"/>
    <w:rsid w:val="000C47DB"/>
    <w:rsid w:val="000C756A"/>
    <w:rsid w:val="000C78FE"/>
    <w:rsid w:val="000C7A12"/>
    <w:rsid w:val="000C7C69"/>
    <w:rsid w:val="000D0FB3"/>
    <w:rsid w:val="000D57E5"/>
    <w:rsid w:val="000F1496"/>
    <w:rsid w:val="000F3B61"/>
    <w:rsid w:val="000F3C61"/>
    <w:rsid w:val="000F561F"/>
    <w:rsid w:val="0010430D"/>
    <w:rsid w:val="0010444E"/>
    <w:rsid w:val="001064FA"/>
    <w:rsid w:val="00107D3D"/>
    <w:rsid w:val="00117BD4"/>
    <w:rsid w:val="001269C1"/>
    <w:rsid w:val="0013276F"/>
    <w:rsid w:val="001377C2"/>
    <w:rsid w:val="0014142B"/>
    <w:rsid w:val="00141FE6"/>
    <w:rsid w:val="00144F00"/>
    <w:rsid w:val="001550DF"/>
    <w:rsid w:val="001561EB"/>
    <w:rsid w:val="00157321"/>
    <w:rsid w:val="00166363"/>
    <w:rsid w:val="0017359C"/>
    <w:rsid w:val="001817E9"/>
    <w:rsid w:val="00182843"/>
    <w:rsid w:val="00183BF3"/>
    <w:rsid w:val="00191504"/>
    <w:rsid w:val="0019359D"/>
    <w:rsid w:val="001C11A3"/>
    <w:rsid w:val="001C4861"/>
    <w:rsid w:val="001C4C34"/>
    <w:rsid w:val="001C541F"/>
    <w:rsid w:val="001C5DC4"/>
    <w:rsid w:val="001D0633"/>
    <w:rsid w:val="001E42C1"/>
    <w:rsid w:val="001E44CA"/>
    <w:rsid w:val="001E56EB"/>
    <w:rsid w:val="001F3F06"/>
    <w:rsid w:val="001F5192"/>
    <w:rsid w:val="00207008"/>
    <w:rsid w:val="00212B89"/>
    <w:rsid w:val="002133DD"/>
    <w:rsid w:val="0022300E"/>
    <w:rsid w:val="00223FF1"/>
    <w:rsid w:val="002330C7"/>
    <w:rsid w:val="00233E38"/>
    <w:rsid w:val="00246720"/>
    <w:rsid w:val="00253769"/>
    <w:rsid w:val="002548A5"/>
    <w:rsid w:val="00263827"/>
    <w:rsid w:val="00264457"/>
    <w:rsid w:val="00264E89"/>
    <w:rsid w:val="002723A4"/>
    <w:rsid w:val="00281D1D"/>
    <w:rsid w:val="00292726"/>
    <w:rsid w:val="00295A23"/>
    <w:rsid w:val="0029767A"/>
    <w:rsid w:val="002A04F4"/>
    <w:rsid w:val="002A2374"/>
    <w:rsid w:val="002A2AEC"/>
    <w:rsid w:val="002A36F0"/>
    <w:rsid w:val="002A3ABB"/>
    <w:rsid w:val="002B0261"/>
    <w:rsid w:val="002C3E86"/>
    <w:rsid w:val="002C52A8"/>
    <w:rsid w:val="002C64D1"/>
    <w:rsid w:val="002D0E46"/>
    <w:rsid w:val="002D3E22"/>
    <w:rsid w:val="002D51AF"/>
    <w:rsid w:val="002D6B1C"/>
    <w:rsid w:val="002D7696"/>
    <w:rsid w:val="002E1550"/>
    <w:rsid w:val="002E4B72"/>
    <w:rsid w:val="002E53CE"/>
    <w:rsid w:val="002E57D2"/>
    <w:rsid w:val="002E5F19"/>
    <w:rsid w:val="002F4212"/>
    <w:rsid w:val="002F4585"/>
    <w:rsid w:val="002F6F71"/>
    <w:rsid w:val="00300516"/>
    <w:rsid w:val="00302941"/>
    <w:rsid w:val="00303CE0"/>
    <w:rsid w:val="003072C8"/>
    <w:rsid w:val="00320049"/>
    <w:rsid w:val="00320770"/>
    <w:rsid w:val="00320ED9"/>
    <w:rsid w:val="00322F1E"/>
    <w:rsid w:val="00323EF5"/>
    <w:rsid w:val="0032589B"/>
    <w:rsid w:val="0032701E"/>
    <w:rsid w:val="00333148"/>
    <w:rsid w:val="00333223"/>
    <w:rsid w:val="00334F86"/>
    <w:rsid w:val="00337E57"/>
    <w:rsid w:val="00343ED7"/>
    <w:rsid w:val="003449EA"/>
    <w:rsid w:val="00345561"/>
    <w:rsid w:val="00351C32"/>
    <w:rsid w:val="003569E4"/>
    <w:rsid w:val="00362379"/>
    <w:rsid w:val="0037495E"/>
    <w:rsid w:val="00377738"/>
    <w:rsid w:val="00380441"/>
    <w:rsid w:val="00380A8C"/>
    <w:rsid w:val="00386897"/>
    <w:rsid w:val="00387A93"/>
    <w:rsid w:val="003903CB"/>
    <w:rsid w:val="00393A84"/>
    <w:rsid w:val="003940AC"/>
    <w:rsid w:val="00394D51"/>
    <w:rsid w:val="00394E1B"/>
    <w:rsid w:val="003A07B4"/>
    <w:rsid w:val="003A27FF"/>
    <w:rsid w:val="003B159F"/>
    <w:rsid w:val="003B5F82"/>
    <w:rsid w:val="003C0B56"/>
    <w:rsid w:val="003C30CC"/>
    <w:rsid w:val="003C53D9"/>
    <w:rsid w:val="003C7907"/>
    <w:rsid w:val="003D0412"/>
    <w:rsid w:val="003D18AC"/>
    <w:rsid w:val="003D3E5F"/>
    <w:rsid w:val="003E0196"/>
    <w:rsid w:val="003E0431"/>
    <w:rsid w:val="003E1D33"/>
    <w:rsid w:val="003E5E7F"/>
    <w:rsid w:val="003E7D8B"/>
    <w:rsid w:val="003F0A93"/>
    <w:rsid w:val="003F0EE9"/>
    <w:rsid w:val="0040095A"/>
    <w:rsid w:val="004041AE"/>
    <w:rsid w:val="00407C1C"/>
    <w:rsid w:val="00411603"/>
    <w:rsid w:val="004129CF"/>
    <w:rsid w:val="00414702"/>
    <w:rsid w:val="0041669B"/>
    <w:rsid w:val="00417C89"/>
    <w:rsid w:val="004209AB"/>
    <w:rsid w:val="00424E5D"/>
    <w:rsid w:val="00425CE1"/>
    <w:rsid w:val="00426D95"/>
    <w:rsid w:val="00430027"/>
    <w:rsid w:val="004333AC"/>
    <w:rsid w:val="00433B3E"/>
    <w:rsid w:val="004668D3"/>
    <w:rsid w:val="0047314D"/>
    <w:rsid w:val="00481048"/>
    <w:rsid w:val="004832EA"/>
    <w:rsid w:val="00485E96"/>
    <w:rsid w:val="00494227"/>
    <w:rsid w:val="004A0906"/>
    <w:rsid w:val="004A0BE0"/>
    <w:rsid w:val="004A12E9"/>
    <w:rsid w:val="004A5F58"/>
    <w:rsid w:val="004B145B"/>
    <w:rsid w:val="004B1E8F"/>
    <w:rsid w:val="004B2036"/>
    <w:rsid w:val="004B4208"/>
    <w:rsid w:val="004B6247"/>
    <w:rsid w:val="004B785B"/>
    <w:rsid w:val="004B7FCE"/>
    <w:rsid w:val="004C43F2"/>
    <w:rsid w:val="004C4A15"/>
    <w:rsid w:val="004C72A1"/>
    <w:rsid w:val="004D32D9"/>
    <w:rsid w:val="004D7AA3"/>
    <w:rsid w:val="004E0441"/>
    <w:rsid w:val="004E0CAA"/>
    <w:rsid w:val="004E3778"/>
    <w:rsid w:val="004F2AC2"/>
    <w:rsid w:val="004F5009"/>
    <w:rsid w:val="00503029"/>
    <w:rsid w:val="00513702"/>
    <w:rsid w:val="00513C2F"/>
    <w:rsid w:val="0051497D"/>
    <w:rsid w:val="00524A4C"/>
    <w:rsid w:val="00525A9A"/>
    <w:rsid w:val="0052729E"/>
    <w:rsid w:val="00530E60"/>
    <w:rsid w:val="005527B5"/>
    <w:rsid w:val="00563A5D"/>
    <w:rsid w:val="005748AA"/>
    <w:rsid w:val="00580348"/>
    <w:rsid w:val="005814CB"/>
    <w:rsid w:val="00583671"/>
    <w:rsid w:val="005862F9"/>
    <w:rsid w:val="00586C81"/>
    <w:rsid w:val="005872FB"/>
    <w:rsid w:val="005910EB"/>
    <w:rsid w:val="00591F66"/>
    <w:rsid w:val="005961FA"/>
    <w:rsid w:val="005974C7"/>
    <w:rsid w:val="005A6D9B"/>
    <w:rsid w:val="005B1946"/>
    <w:rsid w:val="005B25E8"/>
    <w:rsid w:val="005B34D4"/>
    <w:rsid w:val="005B4328"/>
    <w:rsid w:val="005B649E"/>
    <w:rsid w:val="005C1539"/>
    <w:rsid w:val="005C4B63"/>
    <w:rsid w:val="005C4EEE"/>
    <w:rsid w:val="005C53E4"/>
    <w:rsid w:val="005C7352"/>
    <w:rsid w:val="005D2219"/>
    <w:rsid w:val="005D25D4"/>
    <w:rsid w:val="005D34F0"/>
    <w:rsid w:val="005D38BE"/>
    <w:rsid w:val="005D5D05"/>
    <w:rsid w:val="005D6652"/>
    <w:rsid w:val="005D73D1"/>
    <w:rsid w:val="005E1BF9"/>
    <w:rsid w:val="005E51B3"/>
    <w:rsid w:val="005F5542"/>
    <w:rsid w:val="005F7C78"/>
    <w:rsid w:val="00600954"/>
    <w:rsid w:val="006014BB"/>
    <w:rsid w:val="00601709"/>
    <w:rsid w:val="00603A69"/>
    <w:rsid w:val="00604FE7"/>
    <w:rsid w:val="006065EE"/>
    <w:rsid w:val="00606BCE"/>
    <w:rsid w:val="0061278C"/>
    <w:rsid w:val="006147C0"/>
    <w:rsid w:val="006164AD"/>
    <w:rsid w:val="00616A61"/>
    <w:rsid w:val="00617692"/>
    <w:rsid w:val="00617F72"/>
    <w:rsid w:val="006213CB"/>
    <w:rsid w:val="00623AC5"/>
    <w:rsid w:val="00625B1D"/>
    <w:rsid w:val="0062673D"/>
    <w:rsid w:val="00626AE6"/>
    <w:rsid w:val="006379E8"/>
    <w:rsid w:val="00640B9D"/>
    <w:rsid w:val="00643099"/>
    <w:rsid w:val="00645583"/>
    <w:rsid w:val="00647AD7"/>
    <w:rsid w:val="0065285E"/>
    <w:rsid w:val="00652AD7"/>
    <w:rsid w:val="00652E16"/>
    <w:rsid w:val="00663EFD"/>
    <w:rsid w:val="00663F4C"/>
    <w:rsid w:val="006640F5"/>
    <w:rsid w:val="006651BF"/>
    <w:rsid w:val="00670FD3"/>
    <w:rsid w:val="0067431F"/>
    <w:rsid w:val="00674A38"/>
    <w:rsid w:val="00675A76"/>
    <w:rsid w:val="006805FF"/>
    <w:rsid w:val="00680C46"/>
    <w:rsid w:val="006834C8"/>
    <w:rsid w:val="00683F4D"/>
    <w:rsid w:val="006844F4"/>
    <w:rsid w:val="00691E21"/>
    <w:rsid w:val="00695E78"/>
    <w:rsid w:val="006A2096"/>
    <w:rsid w:val="006A456F"/>
    <w:rsid w:val="006B0870"/>
    <w:rsid w:val="006B0C84"/>
    <w:rsid w:val="006B0E8B"/>
    <w:rsid w:val="006B1F9F"/>
    <w:rsid w:val="006B2638"/>
    <w:rsid w:val="006B4736"/>
    <w:rsid w:val="006B48C0"/>
    <w:rsid w:val="006B6517"/>
    <w:rsid w:val="006B6915"/>
    <w:rsid w:val="006B75F4"/>
    <w:rsid w:val="006C1A3B"/>
    <w:rsid w:val="006C3B1C"/>
    <w:rsid w:val="006C509F"/>
    <w:rsid w:val="006D4A08"/>
    <w:rsid w:val="006E03A1"/>
    <w:rsid w:val="006E2A55"/>
    <w:rsid w:val="006E34D0"/>
    <w:rsid w:val="007014AF"/>
    <w:rsid w:val="00702763"/>
    <w:rsid w:val="00704468"/>
    <w:rsid w:val="00706690"/>
    <w:rsid w:val="00710512"/>
    <w:rsid w:val="00716540"/>
    <w:rsid w:val="007176E2"/>
    <w:rsid w:val="00717A5F"/>
    <w:rsid w:val="00727C95"/>
    <w:rsid w:val="007308D5"/>
    <w:rsid w:val="00734A01"/>
    <w:rsid w:val="0073660C"/>
    <w:rsid w:val="00745249"/>
    <w:rsid w:val="00745CC0"/>
    <w:rsid w:val="0075262E"/>
    <w:rsid w:val="00753E86"/>
    <w:rsid w:val="00753FE4"/>
    <w:rsid w:val="00760347"/>
    <w:rsid w:val="00763620"/>
    <w:rsid w:val="00764DDE"/>
    <w:rsid w:val="00765E3A"/>
    <w:rsid w:val="00766E54"/>
    <w:rsid w:val="00767E48"/>
    <w:rsid w:val="00767FD5"/>
    <w:rsid w:val="0077035A"/>
    <w:rsid w:val="007710A8"/>
    <w:rsid w:val="00772C5A"/>
    <w:rsid w:val="00772EC0"/>
    <w:rsid w:val="00776B0B"/>
    <w:rsid w:val="00780A6C"/>
    <w:rsid w:val="0078272E"/>
    <w:rsid w:val="00785BF2"/>
    <w:rsid w:val="00787F71"/>
    <w:rsid w:val="00790388"/>
    <w:rsid w:val="0079436B"/>
    <w:rsid w:val="007949A4"/>
    <w:rsid w:val="007A0265"/>
    <w:rsid w:val="007A3601"/>
    <w:rsid w:val="007B31C0"/>
    <w:rsid w:val="007B52CA"/>
    <w:rsid w:val="007B63EA"/>
    <w:rsid w:val="007B6B82"/>
    <w:rsid w:val="007C4A99"/>
    <w:rsid w:val="007C7B80"/>
    <w:rsid w:val="007C7D38"/>
    <w:rsid w:val="007D1D92"/>
    <w:rsid w:val="007D205E"/>
    <w:rsid w:val="007D3EC7"/>
    <w:rsid w:val="007E371C"/>
    <w:rsid w:val="007E4E30"/>
    <w:rsid w:val="007E5396"/>
    <w:rsid w:val="007E60FD"/>
    <w:rsid w:val="007F41F4"/>
    <w:rsid w:val="007F5BAE"/>
    <w:rsid w:val="007F6CB4"/>
    <w:rsid w:val="00800719"/>
    <w:rsid w:val="00800C7A"/>
    <w:rsid w:val="00802847"/>
    <w:rsid w:val="00804F07"/>
    <w:rsid w:val="00805C9A"/>
    <w:rsid w:val="00807E8C"/>
    <w:rsid w:val="008108D1"/>
    <w:rsid w:val="00812EBC"/>
    <w:rsid w:val="00822CE4"/>
    <w:rsid w:val="00824BE1"/>
    <w:rsid w:val="00825FAF"/>
    <w:rsid w:val="008313CB"/>
    <w:rsid w:val="008349C7"/>
    <w:rsid w:val="0083771A"/>
    <w:rsid w:val="008418D1"/>
    <w:rsid w:val="00841FCA"/>
    <w:rsid w:val="0084250B"/>
    <w:rsid w:val="00845452"/>
    <w:rsid w:val="00851CF7"/>
    <w:rsid w:val="008572D8"/>
    <w:rsid w:val="00862A84"/>
    <w:rsid w:val="00863797"/>
    <w:rsid w:val="0086500F"/>
    <w:rsid w:val="00871217"/>
    <w:rsid w:val="00874F1E"/>
    <w:rsid w:val="008750CA"/>
    <w:rsid w:val="00875710"/>
    <w:rsid w:val="00881291"/>
    <w:rsid w:val="00886F27"/>
    <w:rsid w:val="00895447"/>
    <w:rsid w:val="0089643F"/>
    <w:rsid w:val="00896882"/>
    <w:rsid w:val="008A05F2"/>
    <w:rsid w:val="008A2034"/>
    <w:rsid w:val="008A5486"/>
    <w:rsid w:val="008B2608"/>
    <w:rsid w:val="008B3012"/>
    <w:rsid w:val="008B7469"/>
    <w:rsid w:val="008C3BB5"/>
    <w:rsid w:val="008C5974"/>
    <w:rsid w:val="008C7CC1"/>
    <w:rsid w:val="008D09CB"/>
    <w:rsid w:val="008D2434"/>
    <w:rsid w:val="008D2859"/>
    <w:rsid w:val="008D3A02"/>
    <w:rsid w:val="008E70CC"/>
    <w:rsid w:val="008E7179"/>
    <w:rsid w:val="008F074B"/>
    <w:rsid w:val="008F6240"/>
    <w:rsid w:val="008F75A6"/>
    <w:rsid w:val="00902008"/>
    <w:rsid w:val="00907AF4"/>
    <w:rsid w:val="00911513"/>
    <w:rsid w:val="0091360D"/>
    <w:rsid w:val="009138BA"/>
    <w:rsid w:val="00914E7D"/>
    <w:rsid w:val="0092243B"/>
    <w:rsid w:val="009270E3"/>
    <w:rsid w:val="00930EDC"/>
    <w:rsid w:val="0093406C"/>
    <w:rsid w:val="00947F08"/>
    <w:rsid w:val="009549E4"/>
    <w:rsid w:val="00954E29"/>
    <w:rsid w:val="00960A2E"/>
    <w:rsid w:val="00961903"/>
    <w:rsid w:val="00965F96"/>
    <w:rsid w:val="00966AF9"/>
    <w:rsid w:val="00966F60"/>
    <w:rsid w:val="00967B4C"/>
    <w:rsid w:val="0097272A"/>
    <w:rsid w:val="009753FD"/>
    <w:rsid w:val="00977CC2"/>
    <w:rsid w:val="00982D6D"/>
    <w:rsid w:val="00987767"/>
    <w:rsid w:val="00996401"/>
    <w:rsid w:val="009A0F6B"/>
    <w:rsid w:val="009A2CF5"/>
    <w:rsid w:val="009A6B7C"/>
    <w:rsid w:val="009B4A2A"/>
    <w:rsid w:val="009B500A"/>
    <w:rsid w:val="009B7094"/>
    <w:rsid w:val="009C6117"/>
    <w:rsid w:val="009D0B7A"/>
    <w:rsid w:val="009D18B2"/>
    <w:rsid w:val="009D4CE5"/>
    <w:rsid w:val="009D78D7"/>
    <w:rsid w:val="009E1240"/>
    <w:rsid w:val="009E3ADD"/>
    <w:rsid w:val="009E4B51"/>
    <w:rsid w:val="009E4CDD"/>
    <w:rsid w:val="009E5134"/>
    <w:rsid w:val="009F1789"/>
    <w:rsid w:val="009F3422"/>
    <w:rsid w:val="00A025CD"/>
    <w:rsid w:val="00A02D4E"/>
    <w:rsid w:val="00A17F3D"/>
    <w:rsid w:val="00A23D77"/>
    <w:rsid w:val="00A254D3"/>
    <w:rsid w:val="00A26580"/>
    <w:rsid w:val="00A26B9C"/>
    <w:rsid w:val="00A30624"/>
    <w:rsid w:val="00A33DE2"/>
    <w:rsid w:val="00A352BE"/>
    <w:rsid w:val="00A356B4"/>
    <w:rsid w:val="00A40367"/>
    <w:rsid w:val="00A4042C"/>
    <w:rsid w:val="00A46170"/>
    <w:rsid w:val="00A47269"/>
    <w:rsid w:val="00A551C9"/>
    <w:rsid w:val="00A641E6"/>
    <w:rsid w:val="00A67F24"/>
    <w:rsid w:val="00A757A7"/>
    <w:rsid w:val="00A77F94"/>
    <w:rsid w:val="00A809FE"/>
    <w:rsid w:val="00A863CC"/>
    <w:rsid w:val="00A873C0"/>
    <w:rsid w:val="00A91DE0"/>
    <w:rsid w:val="00A95696"/>
    <w:rsid w:val="00A97B80"/>
    <w:rsid w:val="00AA0366"/>
    <w:rsid w:val="00AA07BD"/>
    <w:rsid w:val="00AA63E6"/>
    <w:rsid w:val="00AA735B"/>
    <w:rsid w:val="00AB24DA"/>
    <w:rsid w:val="00AB2A3B"/>
    <w:rsid w:val="00AC470F"/>
    <w:rsid w:val="00AC5DCF"/>
    <w:rsid w:val="00AC611A"/>
    <w:rsid w:val="00AD15F8"/>
    <w:rsid w:val="00AD1A6A"/>
    <w:rsid w:val="00AD3060"/>
    <w:rsid w:val="00AD30DE"/>
    <w:rsid w:val="00AD30E9"/>
    <w:rsid w:val="00AD4E57"/>
    <w:rsid w:val="00AE246A"/>
    <w:rsid w:val="00AF100C"/>
    <w:rsid w:val="00AF125E"/>
    <w:rsid w:val="00AF5EF7"/>
    <w:rsid w:val="00AF7ED8"/>
    <w:rsid w:val="00B06FEA"/>
    <w:rsid w:val="00B1244A"/>
    <w:rsid w:val="00B21EA2"/>
    <w:rsid w:val="00B261FD"/>
    <w:rsid w:val="00B30A84"/>
    <w:rsid w:val="00B31FD2"/>
    <w:rsid w:val="00B34383"/>
    <w:rsid w:val="00B35365"/>
    <w:rsid w:val="00B41DDD"/>
    <w:rsid w:val="00B45147"/>
    <w:rsid w:val="00B4686A"/>
    <w:rsid w:val="00B47A87"/>
    <w:rsid w:val="00B47AA4"/>
    <w:rsid w:val="00B47C2C"/>
    <w:rsid w:val="00B52BDC"/>
    <w:rsid w:val="00B531CF"/>
    <w:rsid w:val="00B55980"/>
    <w:rsid w:val="00B57465"/>
    <w:rsid w:val="00B606BE"/>
    <w:rsid w:val="00B66681"/>
    <w:rsid w:val="00B73B8D"/>
    <w:rsid w:val="00B74A2A"/>
    <w:rsid w:val="00B756F5"/>
    <w:rsid w:val="00B770D3"/>
    <w:rsid w:val="00B777BA"/>
    <w:rsid w:val="00B81DD3"/>
    <w:rsid w:val="00B85A0E"/>
    <w:rsid w:val="00B938F9"/>
    <w:rsid w:val="00B953C1"/>
    <w:rsid w:val="00B97098"/>
    <w:rsid w:val="00BA63B1"/>
    <w:rsid w:val="00BA72D9"/>
    <w:rsid w:val="00BA72EF"/>
    <w:rsid w:val="00BC060E"/>
    <w:rsid w:val="00BC5D48"/>
    <w:rsid w:val="00BC7A4A"/>
    <w:rsid w:val="00BD098A"/>
    <w:rsid w:val="00BD3A90"/>
    <w:rsid w:val="00BD4C40"/>
    <w:rsid w:val="00BD4E59"/>
    <w:rsid w:val="00BE3ADE"/>
    <w:rsid w:val="00BE6CA0"/>
    <w:rsid w:val="00BE6CD6"/>
    <w:rsid w:val="00BE70EC"/>
    <w:rsid w:val="00BE7A67"/>
    <w:rsid w:val="00BF0501"/>
    <w:rsid w:val="00BF1D57"/>
    <w:rsid w:val="00BF50D0"/>
    <w:rsid w:val="00C035A6"/>
    <w:rsid w:val="00C04410"/>
    <w:rsid w:val="00C05A6A"/>
    <w:rsid w:val="00C07789"/>
    <w:rsid w:val="00C106B8"/>
    <w:rsid w:val="00C10F4F"/>
    <w:rsid w:val="00C12716"/>
    <w:rsid w:val="00C12862"/>
    <w:rsid w:val="00C12C3D"/>
    <w:rsid w:val="00C13BA2"/>
    <w:rsid w:val="00C20E6D"/>
    <w:rsid w:val="00C300E6"/>
    <w:rsid w:val="00C309CB"/>
    <w:rsid w:val="00C34B2E"/>
    <w:rsid w:val="00C34D12"/>
    <w:rsid w:val="00C36FDD"/>
    <w:rsid w:val="00C37E1F"/>
    <w:rsid w:val="00C425AA"/>
    <w:rsid w:val="00C448AE"/>
    <w:rsid w:val="00C47074"/>
    <w:rsid w:val="00C531D1"/>
    <w:rsid w:val="00C53906"/>
    <w:rsid w:val="00C55242"/>
    <w:rsid w:val="00C6350C"/>
    <w:rsid w:val="00C678FA"/>
    <w:rsid w:val="00C706A7"/>
    <w:rsid w:val="00C72C78"/>
    <w:rsid w:val="00C747B4"/>
    <w:rsid w:val="00C76F6C"/>
    <w:rsid w:val="00C77964"/>
    <w:rsid w:val="00C821C3"/>
    <w:rsid w:val="00C82213"/>
    <w:rsid w:val="00C82A24"/>
    <w:rsid w:val="00C90220"/>
    <w:rsid w:val="00C925A8"/>
    <w:rsid w:val="00CA0FE4"/>
    <w:rsid w:val="00CB46FA"/>
    <w:rsid w:val="00CB5D35"/>
    <w:rsid w:val="00CC0D6E"/>
    <w:rsid w:val="00CC1A10"/>
    <w:rsid w:val="00CC2BCD"/>
    <w:rsid w:val="00CC3C44"/>
    <w:rsid w:val="00CC57A2"/>
    <w:rsid w:val="00CC65CE"/>
    <w:rsid w:val="00CC6771"/>
    <w:rsid w:val="00CD0C7B"/>
    <w:rsid w:val="00CD34C9"/>
    <w:rsid w:val="00CD4527"/>
    <w:rsid w:val="00CD4AED"/>
    <w:rsid w:val="00CD5047"/>
    <w:rsid w:val="00CE3185"/>
    <w:rsid w:val="00CE77BF"/>
    <w:rsid w:val="00CF5C15"/>
    <w:rsid w:val="00CF607D"/>
    <w:rsid w:val="00D02AB4"/>
    <w:rsid w:val="00D05A9A"/>
    <w:rsid w:val="00D0681B"/>
    <w:rsid w:val="00D0748A"/>
    <w:rsid w:val="00D0784A"/>
    <w:rsid w:val="00D11B66"/>
    <w:rsid w:val="00D11C82"/>
    <w:rsid w:val="00D124BE"/>
    <w:rsid w:val="00D127A1"/>
    <w:rsid w:val="00D128A0"/>
    <w:rsid w:val="00D13F64"/>
    <w:rsid w:val="00D15D32"/>
    <w:rsid w:val="00D1798C"/>
    <w:rsid w:val="00D25D83"/>
    <w:rsid w:val="00D26485"/>
    <w:rsid w:val="00D311C8"/>
    <w:rsid w:val="00D4007A"/>
    <w:rsid w:val="00D41975"/>
    <w:rsid w:val="00D4440F"/>
    <w:rsid w:val="00D44AFE"/>
    <w:rsid w:val="00D55FF0"/>
    <w:rsid w:val="00D636D8"/>
    <w:rsid w:val="00D6552B"/>
    <w:rsid w:val="00D675B5"/>
    <w:rsid w:val="00D70168"/>
    <w:rsid w:val="00D748F9"/>
    <w:rsid w:val="00D86B3B"/>
    <w:rsid w:val="00D903E2"/>
    <w:rsid w:val="00D90FB7"/>
    <w:rsid w:val="00D92A68"/>
    <w:rsid w:val="00D93F6E"/>
    <w:rsid w:val="00D950DC"/>
    <w:rsid w:val="00DB1A65"/>
    <w:rsid w:val="00DB6026"/>
    <w:rsid w:val="00DB7E6B"/>
    <w:rsid w:val="00DC23F1"/>
    <w:rsid w:val="00DC2B63"/>
    <w:rsid w:val="00DC323B"/>
    <w:rsid w:val="00DC5D04"/>
    <w:rsid w:val="00DC7178"/>
    <w:rsid w:val="00DD0A27"/>
    <w:rsid w:val="00DD37E8"/>
    <w:rsid w:val="00DE0B4C"/>
    <w:rsid w:val="00DE493C"/>
    <w:rsid w:val="00DE67CA"/>
    <w:rsid w:val="00DF134B"/>
    <w:rsid w:val="00DF1821"/>
    <w:rsid w:val="00DF2F41"/>
    <w:rsid w:val="00DF41EE"/>
    <w:rsid w:val="00E04516"/>
    <w:rsid w:val="00E11ED9"/>
    <w:rsid w:val="00E14CD5"/>
    <w:rsid w:val="00E165C0"/>
    <w:rsid w:val="00E17679"/>
    <w:rsid w:val="00E20DC8"/>
    <w:rsid w:val="00E24E6D"/>
    <w:rsid w:val="00E27CA7"/>
    <w:rsid w:val="00E27F79"/>
    <w:rsid w:val="00E31AA7"/>
    <w:rsid w:val="00E323CB"/>
    <w:rsid w:val="00E32E37"/>
    <w:rsid w:val="00E34D3B"/>
    <w:rsid w:val="00E34E52"/>
    <w:rsid w:val="00E4529B"/>
    <w:rsid w:val="00E472A9"/>
    <w:rsid w:val="00E62854"/>
    <w:rsid w:val="00E641BD"/>
    <w:rsid w:val="00E70104"/>
    <w:rsid w:val="00E72654"/>
    <w:rsid w:val="00E74156"/>
    <w:rsid w:val="00E746C7"/>
    <w:rsid w:val="00E74830"/>
    <w:rsid w:val="00E80932"/>
    <w:rsid w:val="00E821DF"/>
    <w:rsid w:val="00E83CB2"/>
    <w:rsid w:val="00E85951"/>
    <w:rsid w:val="00E85FA2"/>
    <w:rsid w:val="00E907CF"/>
    <w:rsid w:val="00E9083B"/>
    <w:rsid w:val="00E91454"/>
    <w:rsid w:val="00EA36F4"/>
    <w:rsid w:val="00EA3AD5"/>
    <w:rsid w:val="00EA43E6"/>
    <w:rsid w:val="00EA4B68"/>
    <w:rsid w:val="00EB13B7"/>
    <w:rsid w:val="00EB5816"/>
    <w:rsid w:val="00EB7489"/>
    <w:rsid w:val="00EC2D7B"/>
    <w:rsid w:val="00EC3EB8"/>
    <w:rsid w:val="00ED31EB"/>
    <w:rsid w:val="00ED6173"/>
    <w:rsid w:val="00ED6AFF"/>
    <w:rsid w:val="00EE0AC5"/>
    <w:rsid w:val="00EE4302"/>
    <w:rsid w:val="00EE5FCA"/>
    <w:rsid w:val="00EE6B06"/>
    <w:rsid w:val="00EE732F"/>
    <w:rsid w:val="00EF4D5D"/>
    <w:rsid w:val="00F07896"/>
    <w:rsid w:val="00F07D34"/>
    <w:rsid w:val="00F11085"/>
    <w:rsid w:val="00F113CC"/>
    <w:rsid w:val="00F13FBB"/>
    <w:rsid w:val="00F2338A"/>
    <w:rsid w:val="00F24707"/>
    <w:rsid w:val="00F278D7"/>
    <w:rsid w:val="00F364C2"/>
    <w:rsid w:val="00F50C5B"/>
    <w:rsid w:val="00F541EA"/>
    <w:rsid w:val="00F54740"/>
    <w:rsid w:val="00F56D57"/>
    <w:rsid w:val="00F641C8"/>
    <w:rsid w:val="00F70767"/>
    <w:rsid w:val="00F72AF1"/>
    <w:rsid w:val="00F755AB"/>
    <w:rsid w:val="00F83739"/>
    <w:rsid w:val="00F83BDD"/>
    <w:rsid w:val="00F83E0A"/>
    <w:rsid w:val="00F868ED"/>
    <w:rsid w:val="00F8714E"/>
    <w:rsid w:val="00F92D5C"/>
    <w:rsid w:val="00FA178A"/>
    <w:rsid w:val="00FA4AFD"/>
    <w:rsid w:val="00FA4D52"/>
    <w:rsid w:val="00FA53A4"/>
    <w:rsid w:val="00FA7479"/>
    <w:rsid w:val="00FB2753"/>
    <w:rsid w:val="00FB2B19"/>
    <w:rsid w:val="00FB46ED"/>
    <w:rsid w:val="00FB5AB6"/>
    <w:rsid w:val="00FB68AB"/>
    <w:rsid w:val="00FC4487"/>
    <w:rsid w:val="00FC4754"/>
    <w:rsid w:val="00FC591E"/>
    <w:rsid w:val="00FC5DC3"/>
    <w:rsid w:val="00FD2CAF"/>
    <w:rsid w:val="00FD713E"/>
    <w:rsid w:val="00FE2BDC"/>
    <w:rsid w:val="00FE3566"/>
    <w:rsid w:val="00FE3807"/>
    <w:rsid w:val="00FE3CAE"/>
    <w:rsid w:val="00FF39C3"/>
    <w:rsid w:val="00FF6CD6"/>
    <w:rsid w:val="016D7F47"/>
    <w:rsid w:val="018845F5"/>
    <w:rsid w:val="01A24EAB"/>
    <w:rsid w:val="02676653"/>
    <w:rsid w:val="02BE1B09"/>
    <w:rsid w:val="02EB6A16"/>
    <w:rsid w:val="03FC2046"/>
    <w:rsid w:val="05BB035D"/>
    <w:rsid w:val="06103B04"/>
    <w:rsid w:val="06391FFA"/>
    <w:rsid w:val="066F086A"/>
    <w:rsid w:val="069761AE"/>
    <w:rsid w:val="06D151FE"/>
    <w:rsid w:val="07740CFB"/>
    <w:rsid w:val="078A366D"/>
    <w:rsid w:val="07C9793D"/>
    <w:rsid w:val="07FE533D"/>
    <w:rsid w:val="093822B1"/>
    <w:rsid w:val="09D53326"/>
    <w:rsid w:val="0A14667A"/>
    <w:rsid w:val="0A791D37"/>
    <w:rsid w:val="0AE71A28"/>
    <w:rsid w:val="0B843B20"/>
    <w:rsid w:val="0C1E558E"/>
    <w:rsid w:val="0C43126A"/>
    <w:rsid w:val="0DDC6CC9"/>
    <w:rsid w:val="0DF625B5"/>
    <w:rsid w:val="0EB00FC9"/>
    <w:rsid w:val="0EBE2240"/>
    <w:rsid w:val="0EC44971"/>
    <w:rsid w:val="0EDD531A"/>
    <w:rsid w:val="0F071433"/>
    <w:rsid w:val="0F110F26"/>
    <w:rsid w:val="0FCB1478"/>
    <w:rsid w:val="114809B7"/>
    <w:rsid w:val="12B74046"/>
    <w:rsid w:val="13881B49"/>
    <w:rsid w:val="13A963DF"/>
    <w:rsid w:val="14F24D66"/>
    <w:rsid w:val="16161084"/>
    <w:rsid w:val="16916D33"/>
    <w:rsid w:val="169A5732"/>
    <w:rsid w:val="173737D6"/>
    <w:rsid w:val="17E503C2"/>
    <w:rsid w:val="190C7EA3"/>
    <w:rsid w:val="191957C0"/>
    <w:rsid w:val="192F37A8"/>
    <w:rsid w:val="196E38BA"/>
    <w:rsid w:val="1980048D"/>
    <w:rsid w:val="19886047"/>
    <w:rsid w:val="19C35905"/>
    <w:rsid w:val="19ED7866"/>
    <w:rsid w:val="1A0C5283"/>
    <w:rsid w:val="1A0E74EB"/>
    <w:rsid w:val="1A220B7E"/>
    <w:rsid w:val="1A2A1EE9"/>
    <w:rsid w:val="1A917D87"/>
    <w:rsid w:val="1B0E451B"/>
    <w:rsid w:val="1B353FFB"/>
    <w:rsid w:val="1BEA0FE8"/>
    <w:rsid w:val="1C286CE3"/>
    <w:rsid w:val="1C4C7784"/>
    <w:rsid w:val="1C84690F"/>
    <w:rsid w:val="1CB30909"/>
    <w:rsid w:val="1CC674F2"/>
    <w:rsid w:val="1D190DEF"/>
    <w:rsid w:val="1D685FCB"/>
    <w:rsid w:val="1E0F0419"/>
    <w:rsid w:val="1E620471"/>
    <w:rsid w:val="1F630AFA"/>
    <w:rsid w:val="1FD11ED6"/>
    <w:rsid w:val="20AF2801"/>
    <w:rsid w:val="21316D4B"/>
    <w:rsid w:val="216D1AE3"/>
    <w:rsid w:val="21FF173F"/>
    <w:rsid w:val="227E3396"/>
    <w:rsid w:val="230063DC"/>
    <w:rsid w:val="232647FF"/>
    <w:rsid w:val="23F7298C"/>
    <w:rsid w:val="24086F72"/>
    <w:rsid w:val="2436006B"/>
    <w:rsid w:val="244B3806"/>
    <w:rsid w:val="24B60AEF"/>
    <w:rsid w:val="25023F77"/>
    <w:rsid w:val="266709E2"/>
    <w:rsid w:val="266B541C"/>
    <w:rsid w:val="26BB7705"/>
    <w:rsid w:val="26D1483F"/>
    <w:rsid w:val="26E01CD2"/>
    <w:rsid w:val="2709593E"/>
    <w:rsid w:val="27986411"/>
    <w:rsid w:val="27E04ADF"/>
    <w:rsid w:val="28397187"/>
    <w:rsid w:val="28E76365"/>
    <w:rsid w:val="290370AF"/>
    <w:rsid w:val="29893B45"/>
    <w:rsid w:val="29E21495"/>
    <w:rsid w:val="2A5F445E"/>
    <w:rsid w:val="2A6F45EB"/>
    <w:rsid w:val="2BC12EC8"/>
    <w:rsid w:val="2BEB7764"/>
    <w:rsid w:val="2C1C4194"/>
    <w:rsid w:val="2C291829"/>
    <w:rsid w:val="2D636ABE"/>
    <w:rsid w:val="2D9112AE"/>
    <w:rsid w:val="2E0875F4"/>
    <w:rsid w:val="2E255084"/>
    <w:rsid w:val="2E700A6A"/>
    <w:rsid w:val="2E860788"/>
    <w:rsid w:val="2EBF68B6"/>
    <w:rsid w:val="2F1E302B"/>
    <w:rsid w:val="2F3C2E7D"/>
    <w:rsid w:val="2FB83480"/>
    <w:rsid w:val="306A169C"/>
    <w:rsid w:val="311C5F16"/>
    <w:rsid w:val="31373F02"/>
    <w:rsid w:val="319202B8"/>
    <w:rsid w:val="319C706D"/>
    <w:rsid w:val="31F21979"/>
    <w:rsid w:val="328F30E7"/>
    <w:rsid w:val="32C03AF2"/>
    <w:rsid w:val="32EC5295"/>
    <w:rsid w:val="339706CC"/>
    <w:rsid w:val="342D3AAD"/>
    <w:rsid w:val="344B1717"/>
    <w:rsid w:val="34541E89"/>
    <w:rsid w:val="347D3EEA"/>
    <w:rsid w:val="35494B7A"/>
    <w:rsid w:val="35B34DDC"/>
    <w:rsid w:val="35F76384"/>
    <w:rsid w:val="36250850"/>
    <w:rsid w:val="36875A4D"/>
    <w:rsid w:val="36933215"/>
    <w:rsid w:val="36D554E4"/>
    <w:rsid w:val="376A1AE2"/>
    <w:rsid w:val="37CF1F8E"/>
    <w:rsid w:val="392309A3"/>
    <w:rsid w:val="3949091B"/>
    <w:rsid w:val="394E0C8C"/>
    <w:rsid w:val="39735C9B"/>
    <w:rsid w:val="39885112"/>
    <w:rsid w:val="39D83AB8"/>
    <w:rsid w:val="3A266CCC"/>
    <w:rsid w:val="3ADD48FE"/>
    <w:rsid w:val="3B2E78CB"/>
    <w:rsid w:val="3C420BEB"/>
    <w:rsid w:val="3C62216F"/>
    <w:rsid w:val="3C6C6155"/>
    <w:rsid w:val="3C9B3F0D"/>
    <w:rsid w:val="3CB274A9"/>
    <w:rsid w:val="3D050BBA"/>
    <w:rsid w:val="3D1611CA"/>
    <w:rsid w:val="3D903314"/>
    <w:rsid w:val="3DEF39AA"/>
    <w:rsid w:val="3E062D75"/>
    <w:rsid w:val="3E9155C7"/>
    <w:rsid w:val="3E9E63BA"/>
    <w:rsid w:val="3F446B4B"/>
    <w:rsid w:val="3F951D49"/>
    <w:rsid w:val="406D6384"/>
    <w:rsid w:val="409E330C"/>
    <w:rsid w:val="40A77AA6"/>
    <w:rsid w:val="417E3916"/>
    <w:rsid w:val="42997141"/>
    <w:rsid w:val="42DA6C76"/>
    <w:rsid w:val="430E6A46"/>
    <w:rsid w:val="4355510B"/>
    <w:rsid w:val="436679D8"/>
    <w:rsid w:val="445361E5"/>
    <w:rsid w:val="4463083F"/>
    <w:rsid w:val="447E7E2A"/>
    <w:rsid w:val="448F2C1B"/>
    <w:rsid w:val="449476D5"/>
    <w:rsid w:val="44EC06CD"/>
    <w:rsid w:val="451F4540"/>
    <w:rsid w:val="47605BC6"/>
    <w:rsid w:val="47D47AF4"/>
    <w:rsid w:val="48E474DA"/>
    <w:rsid w:val="491712EB"/>
    <w:rsid w:val="49642D57"/>
    <w:rsid w:val="49DC79AA"/>
    <w:rsid w:val="4A4B6B80"/>
    <w:rsid w:val="4A874EEF"/>
    <w:rsid w:val="4AA46683"/>
    <w:rsid w:val="4AA743C5"/>
    <w:rsid w:val="4AD62169"/>
    <w:rsid w:val="4B235835"/>
    <w:rsid w:val="4B6A49FC"/>
    <w:rsid w:val="4D017AF0"/>
    <w:rsid w:val="4DA644C0"/>
    <w:rsid w:val="4E0860FB"/>
    <w:rsid w:val="4E126CB8"/>
    <w:rsid w:val="4E2F3DD7"/>
    <w:rsid w:val="4E4A05B2"/>
    <w:rsid w:val="4E6D11C2"/>
    <w:rsid w:val="4F0634C8"/>
    <w:rsid w:val="4F3F2E1E"/>
    <w:rsid w:val="4F7C0115"/>
    <w:rsid w:val="5219601D"/>
    <w:rsid w:val="53447A23"/>
    <w:rsid w:val="53D8739D"/>
    <w:rsid w:val="542578B5"/>
    <w:rsid w:val="54D24E86"/>
    <w:rsid w:val="556B444A"/>
    <w:rsid w:val="5582503A"/>
    <w:rsid w:val="5598681D"/>
    <w:rsid w:val="564B791C"/>
    <w:rsid w:val="5712706A"/>
    <w:rsid w:val="576502B1"/>
    <w:rsid w:val="587C392B"/>
    <w:rsid w:val="58AF6F99"/>
    <w:rsid w:val="596013A4"/>
    <w:rsid w:val="598134C4"/>
    <w:rsid w:val="5A004D4A"/>
    <w:rsid w:val="5A841EF2"/>
    <w:rsid w:val="5AAB04C5"/>
    <w:rsid w:val="5AC46702"/>
    <w:rsid w:val="5AD175C5"/>
    <w:rsid w:val="5B115A45"/>
    <w:rsid w:val="5BEA75B7"/>
    <w:rsid w:val="5C20309E"/>
    <w:rsid w:val="5D4A43BB"/>
    <w:rsid w:val="5D514778"/>
    <w:rsid w:val="5E7D16C0"/>
    <w:rsid w:val="608D09A3"/>
    <w:rsid w:val="608F1D38"/>
    <w:rsid w:val="615F17FF"/>
    <w:rsid w:val="62514446"/>
    <w:rsid w:val="627E3805"/>
    <w:rsid w:val="631E6BF9"/>
    <w:rsid w:val="63A025B8"/>
    <w:rsid w:val="63A80D4A"/>
    <w:rsid w:val="64233E7D"/>
    <w:rsid w:val="64412D3D"/>
    <w:rsid w:val="649E4302"/>
    <w:rsid w:val="64CA5B8E"/>
    <w:rsid w:val="650C04E3"/>
    <w:rsid w:val="65BB44CA"/>
    <w:rsid w:val="65C11D81"/>
    <w:rsid w:val="664061F1"/>
    <w:rsid w:val="66AC36BB"/>
    <w:rsid w:val="66BE6ED9"/>
    <w:rsid w:val="675A2DE0"/>
    <w:rsid w:val="67F86DE1"/>
    <w:rsid w:val="683747EF"/>
    <w:rsid w:val="685E210F"/>
    <w:rsid w:val="686142B9"/>
    <w:rsid w:val="689B5E52"/>
    <w:rsid w:val="697210E7"/>
    <w:rsid w:val="6A295322"/>
    <w:rsid w:val="6A9D076F"/>
    <w:rsid w:val="6ACE2981"/>
    <w:rsid w:val="6AD60CF8"/>
    <w:rsid w:val="6AE03994"/>
    <w:rsid w:val="6B80747C"/>
    <w:rsid w:val="6BEB4305"/>
    <w:rsid w:val="6C4C227F"/>
    <w:rsid w:val="6C515255"/>
    <w:rsid w:val="6D143885"/>
    <w:rsid w:val="6D1B5985"/>
    <w:rsid w:val="6D6A176D"/>
    <w:rsid w:val="6DF148CA"/>
    <w:rsid w:val="6E104395"/>
    <w:rsid w:val="6E597249"/>
    <w:rsid w:val="6E9F6FDD"/>
    <w:rsid w:val="6F7628C1"/>
    <w:rsid w:val="6FCB0167"/>
    <w:rsid w:val="6FF00AC7"/>
    <w:rsid w:val="700745B9"/>
    <w:rsid w:val="70430561"/>
    <w:rsid w:val="70E16612"/>
    <w:rsid w:val="70ED3F4C"/>
    <w:rsid w:val="70FD18E8"/>
    <w:rsid w:val="71336F0C"/>
    <w:rsid w:val="717F08A7"/>
    <w:rsid w:val="723C589F"/>
    <w:rsid w:val="737767C9"/>
    <w:rsid w:val="73D50AE2"/>
    <w:rsid w:val="74EB5BA5"/>
    <w:rsid w:val="75560D98"/>
    <w:rsid w:val="75EB3B20"/>
    <w:rsid w:val="760E4393"/>
    <w:rsid w:val="77610F13"/>
    <w:rsid w:val="778E33FA"/>
    <w:rsid w:val="788B36D5"/>
    <w:rsid w:val="78A72949"/>
    <w:rsid w:val="78E321B3"/>
    <w:rsid w:val="78EE3E0E"/>
    <w:rsid w:val="791412EC"/>
    <w:rsid w:val="79715838"/>
    <w:rsid w:val="79EB00CF"/>
    <w:rsid w:val="7A4647B1"/>
    <w:rsid w:val="7AB26C83"/>
    <w:rsid w:val="7B221334"/>
    <w:rsid w:val="7B742A76"/>
    <w:rsid w:val="7BBC14BA"/>
    <w:rsid w:val="7BC2408A"/>
    <w:rsid w:val="7DAC43B3"/>
    <w:rsid w:val="7DE66354"/>
    <w:rsid w:val="7DF244AE"/>
    <w:rsid w:val="7E546A98"/>
    <w:rsid w:val="7F8E66BB"/>
    <w:rsid w:val="7FBE567F"/>
    <w:rsid w:val="7FDD2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styleId="3">
    <w:name w:val="heading 1"/>
    <w:basedOn w:val="1"/>
    <w:next w:val="1"/>
    <w:link w:val="41"/>
    <w:qFormat/>
    <w:uiPriority w:val="0"/>
    <w:pPr>
      <w:keepNext/>
      <w:keepLines/>
      <w:spacing w:before="340" w:after="330" w:line="579" w:lineRule="auto"/>
      <w:jc w:val="center"/>
      <w:outlineLvl w:val="0"/>
    </w:pPr>
    <w:rPr>
      <w:rFonts w:eastAsia="黑体"/>
      <w:b/>
      <w:kern w:val="44"/>
      <w:sz w:val="36"/>
    </w:rPr>
  </w:style>
  <w:style w:type="paragraph" w:styleId="4">
    <w:name w:val="heading 2"/>
    <w:basedOn w:val="1"/>
    <w:next w:val="1"/>
    <w:link w:val="42"/>
    <w:qFormat/>
    <w:uiPriority w:val="9"/>
    <w:pPr>
      <w:keepNext/>
      <w:keepLines/>
      <w:spacing w:before="360" w:after="360" w:line="240" w:lineRule="auto"/>
      <w:jc w:val="left"/>
      <w:outlineLvl w:val="1"/>
    </w:pPr>
    <w:rPr>
      <w:rFonts w:eastAsia="黑体"/>
      <w:b/>
      <w:bCs/>
      <w:sz w:val="36"/>
      <w:szCs w:val="32"/>
    </w:rPr>
  </w:style>
  <w:style w:type="paragraph" w:styleId="5">
    <w:name w:val="heading 3"/>
    <w:basedOn w:val="1"/>
    <w:next w:val="1"/>
    <w:link w:val="43"/>
    <w:qFormat/>
    <w:uiPriority w:val="0"/>
    <w:pPr>
      <w:keepNext/>
      <w:keepLines/>
      <w:spacing w:before="240" w:after="240" w:line="240" w:lineRule="auto"/>
      <w:jc w:val="left"/>
      <w:outlineLvl w:val="2"/>
    </w:pPr>
    <w:rPr>
      <w:rFonts w:eastAsia="黑体"/>
      <w:b/>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jc w:val="center"/>
      <w:outlineLvl w:val="5"/>
    </w:pPr>
    <w:rPr>
      <w:rFonts w:ascii="宋体" w:hAnsi="宋体"/>
      <w:sz w:val="28"/>
    </w:rPr>
  </w:style>
  <w:style w:type="paragraph" w:styleId="8">
    <w:name w:val="heading 7"/>
    <w:basedOn w:val="1"/>
    <w:next w:val="1"/>
    <w:qFormat/>
    <w:uiPriority w:val="0"/>
    <w:pPr>
      <w:keepNext/>
      <w:framePr w:vSpace="180" w:wrap="around" w:vAnchor="text" w:hAnchor="page" w:x="2522" w:y="-92"/>
      <w:topLinePunct/>
      <w:adjustRightInd w:val="0"/>
      <w:spacing w:line="440" w:lineRule="exact"/>
      <w:jc w:val="center"/>
      <w:textAlignment w:val="baseline"/>
      <w:outlineLvl w:val="6"/>
    </w:pPr>
    <w:rPr>
      <w:rFonts w:ascii="宋体" w:hAnsi="宋体"/>
      <w:color w:val="FFCC00"/>
      <w:kern w:val="0"/>
      <w:sz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ind w:firstLine="1680" w:firstLineChars="200"/>
    </w:pPr>
    <w:rPr>
      <w:rFonts w:ascii="Cambria" w:hAnsi="Cambria" w:eastAsia="仿宋_GB2312"/>
      <w:sz w:val="21"/>
      <w:szCs w:val="24"/>
    </w:rPr>
  </w:style>
  <w:style w:type="paragraph" w:styleId="9">
    <w:name w:val="toc 7"/>
    <w:basedOn w:val="1"/>
    <w:next w:val="1"/>
    <w:unhideWhenUsed/>
    <w:qFormat/>
    <w:uiPriority w:val="39"/>
    <w:pPr>
      <w:spacing w:line="240" w:lineRule="auto"/>
      <w:ind w:left="2520" w:leftChars="1200"/>
    </w:pPr>
    <w:rPr>
      <w:rFonts w:ascii="Calibri" w:hAnsi="Calibri"/>
      <w:sz w:val="21"/>
      <w:szCs w:val="22"/>
    </w:rPr>
  </w:style>
  <w:style w:type="paragraph" w:styleId="10">
    <w:name w:val="Normal Indent"/>
    <w:basedOn w:val="1"/>
    <w:qFormat/>
    <w:uiPriority w:val="0"/>
    <w:pPr>
      <w:widowControl/>
      <w:ind w:firstLine="420"/>
      <w:jc w:val="left"/>
    </w:pPr>
    <w:rPr>
      <w:kern w:val="0"/>
    </w:rPr>
  </w:style>
  <w:style w:type="paragraph" w:styleId="11">
    <w:name w:val="annotation text"/>
    <w:basedOn w:val="1"/>
    <w:link w:val="58"/>
    <w:semiHidden/>
    <w:unhideWhenUsed/>
    <w:qFormat/>
    <w:uiPriority w:val="99"/>
    <w:pPr>
      <w:jc w:val="left"/>
    </w:pPr>
  </w:style>
  <w:style w:type="paragraph" w:styleId="12">
    <w:name w:val="Salutation"/>
    <w:basedOn w:val="1"/>
    <w:next w:val="1"/>
    <w:qFormat/>
    <w:uiPriority w:val="0"/>
    <w:rPr>
      <w:rFonts w:ascii="宋体" w:hAnsi="宋体" w:cs="宋体"/>
      <w:szCs w:val="24"/>
    </w:rPr>
  </w:style>
  <w:style w:type="paragraph" w:styleId="13">
    <w:name w:val="Body Text"/>
    <w:basedOn w:val="1"/>
    <w:link w:val="44"/>
    <w:unhideWhenUsed/>
    <w:qFormat/>
    <w:uiPriority w:val="99"/>
    <w:pPr>
      <w:spacing w:after="120"/>
    </w:pPr>
  </w:style>
  <w:style w:type="paragraph" w:styleId="14">
    <w:name w:val="Body Text Indent"/>
    <w:basedOn w:val="1"/>
    <w:qFormat/>
    <w:uiPriority w:val="0"/>
    <w:pPr>
      <w:spacing w:after="120"/>
      <w:ind w:left="420" w:leftChars="200"/>
    </w:pPr>
  </w:style>
  <w:style w:type="paragraph" w:styleId="15">
    <w:name w:val="toc 5"/>
    <w:basedOn w:val="1"/>
    <w:next w:val="1"/>
    <w:unhideWhenUsed/>
    <w:qFormat/>
    <w:uiPriority w:val="39"/>
    <w:pPr>
      <w:spacing w:line="240" w:lineRule="auto"/>
      <w:ind w:left="1680" w:leftChars="800"/>
    </w:pPr>
    <w:rPr>
      <w:rFonts w:ascii="Calibri" w:hAnsi="Calibri"/>
      <w:sz w:val="21"/>
      <w:szCs w:val="22"/>
    </w:rPr>
  </w:style>
  <w:style w:type="paragraph" w:styleId="16">
    <w:name w:val="toc 3"/>
    <w:basedOn w:val="1"/>
    <w:next w:val="1"/>
    <w:unhideWhenUsed/>
    <w:qFormat/>
    <w:uiPriority w:val="39"/>
    <w:pPr>
      <w:ind w:left="840" w:leftChars="400"/>
    </w:pPr>
  </w:style>
  <w:style w:type="paragraph" w:styleId="17">
    <w:name w:val="Plain Text"/>
    <w:basedOn w:val="1"/>
    <w:link w:val="45"/>
    <w:qFormat/>
    <w:uiPriority w:val="0"/>
    <w:rPr>
      <w:rFonts w:ascii="宋体" w:hAnsi="Courier New"/>
      <w:sz w:val="28"/>
    </w:rPr>
  </w:style>
  <w:style w:type="paragraph" w:styleId="18">
    <w:name w:val="toc 8"/>
    <w:basedOn w:val="1"/>
    <w:next w:val="1"/>
    <w:unhideWhenUsed/>
    <w:qFormat/>
    <w:uiPriority w:val="39"/>
    <w:pPr>
      <w:spacing w:line="240" w:lineRule="auto"/>
      <w:ind w:left="2940" w:leftChars="1400"/>
    </w:pPr>
    <w:rPr>
      <w:rFonts w:ascii="Calibri" w:hAnsi="Calibri"/>
      <w:sz w:val="21"/>
      <w:szCs w:val="22"/>
    </w:rPr>
  </w:style>
  <w:style w:type="paragraph" w:styleId="19">
    <w:name w:val="Body Text Indent 2"/>
    <w:basedOn w:val="1"/>
    <w:link w:val="46"/>
    <w:qFormat/>
    <w:uiPriority w:val="0"/>
    <w:pPr>
      <w:spacing w:after="120" w:line="480" w:lineRule="auto"/>
      <w:ind w:left="420" w:leftChars="200"/>
    </w:pPr>
  </w:style>
  <w:style w:type="paragraph" w:styleId="20">
    <w:name w:val="Balloon Text"/>
    <w:basedOn w:val="1"/>
    <w:link w:val="47"/>
    <w:unhideWhenUsed/>
    <w:qFormat/>
    <w:uiPriority w:val="99"/>
    <w:rPr>
      <w:sz w:val="18"/>
      <w:szCs w:val="18"/>
    </w:rPr>
  </w:style>
  <w:style w:type="paragraph" w:styleId="21">
    <w:name w:val="footer"/>
    <w:basedOn w:val="1"/>
    <w:link w:val="48"/>
    <w:unhideWhenUsed/>
    <w:qFormat/>
    <w:uiPriority w:val="99"/>
    <w:pPr>
      <w:tabs>
        <w:tab w:val="center" w:pos="4153"/>
        <w:tab w:val="right" w:pos="8306"/>
      </w:tabs>
      <w:snapToGrid w:val="0"/>
      <w:jc w:val="left"/>
    </w:pPr>
    <w:rPr>
      <w:sz w:val="18"/>
      <w:szCs w:val="18"/>
    </w:rPr>
  </w:style>
  <w:style w:type="paragraph" w:styleId="22">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tabs>
        <w:tab w:val="right" w:leader="dot" w:pos="9060"/>
      </w:tabs>
      <w:jc w:val="center"/>
    </w:pPr>
  </w:style>
  <w:style w:type="paragraph" w:styleId="24">
    <w:name w:val="toc 4"/>
    <w:basedOn w:val="1"/>
    <w:next w:val="1"/>
    <w:unhideWhenUsed/>
    <w:qFormat/>
    <w:uiPriority w:val="39"/>
    <w:pPr>
      <w:spacing w:line="240" w:lineRule="auto"/>
      <w:ind w:left="1260" w:leftChars="600"/>
    </w:pPr>
    <w:rPr>
      <w:rFonts w:ascii="Calibri" w:hAnsi="Calibri"/>
      <w:sz w:val="21"/>
      <w:szCs w:val="22"/>
    </w:rPr>
  </w:style>
  <w:style w:type="paragraph" w:styleId="25">
    <w:name w:val="footnote text"/>
    <w:basedOn w:val="1"/>
    <w:semiHidden/>
    <w:unhideWhenUsed/>
    <w:qFormat/>
    <w:uiPriority w:val="99"/>
    <w:pPr>
      <w:snapToGrid w:val="0"/>
      <w:jc w:val="left"/>
    </w:pPr>
    <w:rPr>
      <w:sz w:val="18"/>
    </w:rPr>
  </w:style>
  <w:style w:type="paragraph" w:styleId="26">
    <w:name w:val="toc 6"/>
    <w:basedOn w:val="1"/>
    <w:next w:val="1"/>
    <w:unhideWhenUsed/>
    <w:qFormat/>
    <w:uiPriority w:val="39"/>
    <w:pPr>
      <w:spacing w:line="240" w:lineRule="auto"/>
      <w:ind w:left="2100" w:leftChars="1000"/>
    </w:pPr>
    <w:rPr>
      <w:rFonts w:ascii="Calibri" w:hAnsi="Calibri"/>
      <w:sz w:val="21"/>
      <w:szCs w:val="22"/>
    </w:rPr>
  </w:style>
  <w:style w:type="paragraph" w:styleId="27">
    <w:name w:val="Body Text Indent 3"/>
    <w:basedOn w:val="1"/>
    <w:qFormat/>
    <w:uiPriority w:val="0"/>
    <w:pPr>
      <w:spacing w:before="120" w:beforeLines="50"/>
      <w:ind w:firstLine="476"/>
    </w:pPr>
    <w:rPr>
      <w:rFonts w:ascii="宋体" w:hAnsi="宋体"/>
      <w:bCs/>
      <w:sz w:val="28"/>
    </w:rPr>
  </w:style>
  <w:style w:type="paragraph" w:styleId="28">
    <w:name w:val="toc 2"/>
    <w:basedOn w:val="1"/>
    <w:next w:val="1"/>
    <w:unhideWhenUsed/>
    <w:qFormat/>
    <w:uiPriority w:val="39"/>
    <w:pPr>
      <w:ind w:left="420" w:leftChars="200"/>
    </w:pPr>
  </w:style>
  <w:style w:type="paragraph" w:styleId="29">
    <w:name w:val="toc 9"/>
    <w:basedOn w:val="1"/>
    <w:next w:val="1"/>
    <w:unhideWhenUsed/>
    <w:qFormat/>
    <w:uiPriority w:val="39"/>
    <w:pPr>
      <w:spacing w:line="240" w:lineRule="auto"/>
      <w:ind w:left="3360" w:leftChars="1600"/>
    </w:pPr>
    <w:rPr>
      <w:rFonts w:ascii="Calibri" w:hAnsi="Calibri"/>
      <w:sz w:val="21"/>
      <w:szCs w:val="22"/>
    </w:rPr>
  </w:style>
  <w:style w:type="paragraph" w:styleId="30">
    <w:name w:val="Body Text 2"/>
    <w:basedOn w:val="1"/>
    <w:qFormat/>
    <w:uiPriority w:val="0"/>
    <w:pPr>
      <w:spacing w:line="240" w:lineRule="exact"/>
    </w:pPr>
    <w:rPr>
      <w:rFonts w:ascii="宋体"/>
      <w:sz w:val="28"/>
    </w:rPr>
  </w:style>
  <w:style w:type="paragraph" w:styleId="31">
    <w:name w:val="Normal (Web)"/>
    <w:basedOn w:val="1"/>
    <w:qFormat/>
    <w:uiPriority w:val="0"/>
    <w:pPr>
      <w:widowControl/>
      <w:spacing w:before="100" w:beforeAutospacing="1" w:after="100" w:afterAutospacing="1"/>
      <w:jc w:val="left"/>
    </w:pPr>
    <w:rPr>
      <w:rFonts w:ascii="宋体" w:hAnsi="宋体" w:cs="宋体"/>
      <w:kern w:val="0"/>
    </w:rPr>
  </w:style>
  <w:style w:type="paragraph" w:styleId="32">
    <w:name w:val="index 1"/>
    <w:basedOn w:val="1"/>
    <w:next w:val="1"/>
    <w:qFormat/>
    <w:uiPriority w:val="0"/>
    <w:pPr>
      <w:jc w:val="center"/>
    </w:pPr>
    <w:rPr>
      <w:rFonts w:ascii="宋体" w:hAnsi="宋体"/>
      <w:snapToGrid w:val="0"/>
      <w:kern w:val="0"/>
    </w:rPr>
  </w:style>
  <w:style w:type="paragraph" w:styleId="33">
    <w:name w:val="annotation subject"/>
    <w:basedOn w:val="11"/>
    <w:next w:val="11"/>
    <w:link w:val="59"/>
    <w:semiHidden/>
    <w:unhideWhenUsed/>
    <w:qFormat/>
    <w:uiPriority w:val="99"/>
    <w:rPr>
      <w:b/>
      <w:bCs/>
    </w:rPr>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page number"/>
    <w:qFormat/>
    <w:uiPriority w:val="0"/>
  </w:style>
  <w:style w:type="character" w:styleId="38">
    <w:name w:val="Hyperlink"/>
    <w:unhideWhenUsed/>
    <w:qFormat/>
    <w:uiPriority w:val="99"/>
    <w:rPr>
      <w:color w:val="0000FF"/>
      <w:u w:val="single"/>
    </w:rPr>
  </w:style>
  <w:style w:type="character" w:styleId="39">
    <w:name w:val="annotation reference"/>
    <w:basedOn w:val="36"/>
    <w:semiHidden/>
    <w:unhideWhenUsed/>
    <w:qFormat/>
    <w:uiPriority w:val="99"/>
    <w:rPr>
      <w:sz w:val="21"/>
      <w:szCs w:val="21"/>
    </w:rPr>
  </w:style>
  <w:style w:type="character" w:styleId="40">
    <w:name w:val="footnote reference"/>
    <w:basedOn w:val="36"/>
    <w:semiHidden/>
    <w:unhideWhenUsed/>
    <w:qFormat/>
    <w:uiPriority w:val="99"/>
    <w:rPr>
      <w:vertAlign w:val="superscript"/>
    </w:rPr>
  </w:style>
  <w:style w:type="character" w:customStyle="1" w:styleId="41">
    <w:name w:val="标题 1 Char"/>
    <w:link w:val="3"/>
    <w:qFormat/>
    <w:uiPriority w:val="0"/>
    <w:rPr>
      <w:rFonts w:ascii="Times New Roman" w:hAnsi="Times New Roman" w:eastAsia="黑体" w:cs="Times New Roman"/>
      <w:b/>
      <w:kern w:val="44"/>
      <w:sz w:val="36"/>
      <w:szCs w:val="20"/>
    </w:rPr>
  </w:style>
  <w:style w:type="character" w:customStyle="1" w:styleId="42">
    <w:name w:val="标题 2 Char"/>
    <w:link w:val="4"/>
    <w:qFormat/>
    <w:uiPriority w:val="9"/>
    <w:rPr>
      <w:rFonts w:ascii="Times New Roman" w:hAnsi="Times New Roman" w:eastAsia="黑体" w:cs="Times New Roman"/>
      <w:b/>
      <w:bCs/>
      <w:sz w:val="36"/>
      <w:szCs w:val="32"/>
    </w:rPr>
  </w:style>
  <w:style w:type="character" w:customStyle="1" w:styleId="43">
    <w:name w:val="标题 3 Char"/>
    <w:link w:val="5"/>
    <w:qFormat/>
    <w:uiPriority w:val="0"/>
    <w:rPr>
      <w:rFonts w:ascii="Times New Roman" w:hAnsi="Times New Roman" w:eastAsia="黑体" w:cs="Times New Roman"/>
      <w:b/>
      <w:sz w:val="24"/>
      <w:szCs w:val="20"/>
    </w:rPr>
  </w:style>
  <w:style w:type="character" w:customStyle="1" w:styleId="44">
    <w:name w:val="正文文本 Char"/>
    <w:link w:val="13"/>
    <w:semiHidden/>
    <w:qFormat/>
    <w:uiPriority w:val="99"/>
    <w:rPr>
      <w:rFonts w:ascii="Times New Roman" w:hAnsi="Times New Roman" w:eastAsia="宋体" w:cs="Times New Roman"/>
      <w:sz w:val="24"/>
      <w:szCs w:val="20"/>
    </w:rPr>
  </w:style>
  <w:style w:type="character" w:customStyle="1" w:styleId="45">
    <w:name w:val="纯文本 Char"/>
    <w:link w:val="17"/>
    <w:qFormat/>
    <w:uiPriority w:val="0"/>
    <w:rPr>
      <w:rFonts w:ascii="宋体" w:hAnsi="Courier New" w:eastAsia="宋体" w:cs="Times New Roman"/>
      <w:sz w:val="28"/>
      <w:szCs w:val="20"/>
    </w:rPr>
  </w:style>
  <w:style w:type="character" w:customStyle="1" w:styleId="46">
    <w:name w:val="正文文本缩进 2 Char"/>
    <w:link w:val="19"/>
    <w:qFormat/>
    <w:uiPriority w:val="0"/>
    <w:rPr>
      <w:rFonts w:ascii="Times New Roman" w:hAnsi="Times New Roman" w:eastAsia="宋体" w:cs="Times New Roman"/>
      <w:sz w:val="24"/>
      <w:szCs w:val="20"/>
    </w:rPr>
  </w:style>
  <w:style w:type="character" w:customStyle="1" w:styleId="47">
    <w:name w:val="批注框文本 Char"/>
    <w:link w:val="20"/>
    <w:semiHidden/>
    <w:qFormat/>
    <w:uiPriority w:val="99"/>
    <w:rPr>
      <w:sz w:val="18"/>
      <w:szCs w:val="18"/>
    </w:rPr>
  </w:style>
  <w:style w:type="character" w:customStyle="1" w:styleId="48">
    <w:name w:val="页脚 Char"/>
    <w:link w:val="21"/>
    <w:qFormat/>
    <w:uiPriority w:val="99"/>
    <w:rPr>
      <w:sz w:val="18"/>
      <w:szCs w:val="18"/>
    </w:rPr>
  </w:style>
  <w:style w:type="character" w:customStyle="1" w:styleId="49">
    <w:name w:val="页眉 Char"/>
    <w:link w:val="22"/>
    <w:qFormat/>
    <w:uiPriority w:val="99"/>
    <w:rPr>
      <w:sz w:val="18"/>
      <w:szCs w:val="18"/>
    </w:rPr>
  </w:style>
  <w:style w:type="character" w:customStyle="1" w:styleId="50">
    <w:name w:val="正文，行距 Char Char"/>
    <w:link w:val="51"/>
    <w:qFormat/>
    <w:uiPriority w:val="0"/>
    <w:rPr>
      <w:rFonts w:ascii="黑体" w:hAnsi="Arial" w:cs="Arial"/>
      <w:bCs/>
      <w:kern w:val="2"/>
      <w:sz w:val="24"/>
      <w:szCs w:val="32"/>
      <w:lang w:val="en-US" w:eastAsia="zh-CN" w:bidi="ar-SA"/>
    </w:rPr>
  </w:style>
  <w:style w:type="paragraph" w:customStyle="1" w:styleId="51">
    <w:name w:val="正文，行距"/>
    <w:link w:val="50"/>
    <w:qFormat/>
    <w:uiPriority w:val="0"/>
    <w:pPr>
      <w:spacing w:line="360" w:lineRule="auto"/>
    </w:pPr>
    <w:rPr>
      <w:rFonts w:ascii="黑体" w:hAnsi="Arial" w:eastAsia="宋体" w:cs="Arial"/>
      <w:bCs/>
      <w:kern w:val="2"/>
      <w:sz w:val="24"/>
      <w:szCs w:val="32"/>
      <w:lang w:val="en-US" w:eastAsia="zh-CN" w:bidi="ar-SA"/>
    </w:rPr>
  </w:style>
  <w:style w:type="character" w:styleId="52">
    <w:name w:val="Placeholder Text"/>
    <w:semiHidden/>
    <w:qFormat/>
    <w:uiPriority w:val="99"/>
    <w:rPr>
      <w:color w:val="808080"/>
    </w:rPr>
  </w:style>
  <w:style w:type="paragraph" w:customStyle="1" w:styleId="53">
    <w:name w:val="表格格式"/>
    <w:basedOn w:val="1"/>
    <w:qFormat/>
    <w:uiPriority w:val="0"/>
    <w:pPr>
      <w:jc w:val="center"/>
    </w:pPr>
    <w:rPr>
      <w:rFonts w:eastAsia="仿宋_GB2312"/>
    </w:rPr>
  </w:style>
  <w:style w:type="paragraph" w:customStyle="1" w:styleId="54">
    <w:name w:val="表格文字"/>
    <w:basedOn w:val="1"/>
    <w:qFormat/>
    <w:uiPriority w:val="0"/>
    <w:pPr>
      <w:adjustRightInd w:val="0"/>
      <w:snapToGrid w:val="0"/>
      <w:jc w:val="center"/>
    </w:pPr>
    <w:rPr>
      <w:rFonts w:ascii="仿宋_GB2312" w:eastAsia="仿宋_GB2312"/>
      <w:snapToGrid w:val="0"/>
      <w:kern w:val="0"/>
    </w:rPr>
  </w:style>
  <w:style w:type="paragraph" w:styleId="55">
    <w:name w:val="List Paragraph"/>
    <w:basedOn w:val="1"/>
    <w:qFormat/>
    <w:uiPriority w:val="34"/>
    <w:pPr>
      <w:ind w:firstLine="420" w:firstLineChars="200"/>
    </w:pPr>
  </w:style>
  <w:style w:type="paragraph" w:customStyle="1" w:styleId="56">
    <w:name w:val="隐标格式"/>
    <w:basedOn w:val="17"/>
    <w:qFormat/>
    <w:uiPriority w:val="0"/>
    <w:pPr>
      <w:adjustRightInd w:val="0"/>
      <w:snapToGrid w:val="0"/>
    </w:pPr>
    <w:rPr>
      <w:rFonts w:hAnsi="宋体"/>
      <w:sz w:val="11"/>
      <w:szCs w:val="24"/>
    </w:rPr>
  </w:style>
  <w:style w:type="paragraph" w:customStyle="1" w:styleId="57">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character" w:customStyle="1" w:styleId="58">
    <w:name w:val="批注文字 Char"/>
    <w:basedOn w:val="36"/>
    <w:link w:val="11"/>
    <w:semiHidden/>
    <w:qFormat/>
    <w:uiPriority w:val="99"/>
    <w:rPr>
      <w:kern w:val="2"/>
      <w:sz w:val="24"/>
    </w:rPr>
  </w:style>
  <w:style w:type="character" w:customStyle="1" w:styleId="59">
    <w:name w:val="批注主题 Char"/>
    <w:basedOn w:val="58"/>
    <w:link w:val="33"/>
    <w:semiHidden/>
    <w:qFormat/>
    <w:uiPriority w:val="99"/>
    <w:rPr>
      <w:b/>
      <w:bCs/>
      <w:kern w:val="2"/>
      <w:sz w:val="24"/>
    </w:rPr>
  </w:style>
  <w:style w:type="paragraph" w:customStyle="1" w:styleId="60">
    <w:name w:val="WPSOffice手动目录 1"/>
    <w:qFormat/>
    <w:uiPriority w:val="0"/>
    <w:rPr>
      <w:rFonts w:ascii="Times New Roman" w:hAnsi="Times New Roman" w:eastAsia="宋体" w:cs="Times New Roman"/>
      <w:lang w:val="en-US" w:eastAsia="zh-CN" w:bidi="ar-SA"/>
    </w:rPr>
  </w:style>
  <w:style w:type="paragraph" w:customStyle="1" w:styleId="6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63">
    <w:name w:val="TOC 标题2"/>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paragraph" w:customStyle="1" w:styleId="64">
    <w:name w:val="标题名（不入目录）"/>
    <w:basedOn w:val="1"/>
    <w:qFormat/>
    <w:uiPriority w:val="0"/>
    <w:pPr>
      <w:adjustRightInd w:val="0"/>
      <w:snapToGrid w:val="0"/>
      <w:spacing w:before="480" w:after="360"/>
      <w:jc w:val="center"/>
    </w:pPr>
    <w:rPr>
      <w:rFonts w:eastAsia="黑体"/>
      <w:kern w:val="0"/>
      <w:sz w:val="32"/>
    </w:rPr>
  </w:style>
  <w:style w:type="paragraph" w:customStyle="1" w:styleId="65">
    <w:name w:val="广开正文A1"/>
    <w:basedOn w:val="1"/>
    <w:qFormat/>
    <w:uiPriority w:val="0"/>
    <w:pPr>
      <w:spacing w:line="240" w:lineRule="auto"/>
      <w:ind w:firstLine="480" w:firstLineChars="200"/>
    </w:pPr>
    <w:rPr>
      <w:rFonts w:ascii="Times New Roman" w:hAnsi="Times New Roman"/>
      <w:szCs w:val="28"/>
    </w:rPr>
  </w:style>
  <w:style w:type="paragraph" w:customStyle="1" w:styleId="66">
    <w:name w:val="广开参考文献A0"/>
    <w:basedOn w:val="1"/>
    <w:qFormat/>
    <w:uiPriority w:val="0"/>
    <w:rPr>
      <w:sz w:val="21"/>
      <w:szCs w:val="21"/>
    </w:rPr>
  </w:style>
  <w:style w:type="paragraph" w:customStyle="1" w:styleId="67">
    <w:name w:val="广开参考文献标题A1"/>
    <w:basedOn w:val="3"/>
    <w:qFormat/>
    <w:uiPriority w:val="0"/>
  </w:style>
  <w:style w:type="paragraph" w:customStyle="1" w:styleId="68">
    <w:name w:val="广开摘要标题A1"/>
    <w:basedOn w:val="3"/>
    <w:qFormat/>
    <w:uiPriority w:val="0"/>
  </w:style>
  <w:style w:type="paragraph" w:customStyle="1" w:styleId="69">
    <w:name w:val="广开三级标题"/>
    <w:basedOn w:val="1"/>
    <w:qFormat/>
    <w:uiPriority w:val="0"/>
    <w:pPr>
      <w:spacing w:before="240" w:after="240" w:line="240" w:lineRule="auto"/>
      <w:ind w:firstLine="363"/>
    </w:pPr>
    <w:rPr>
      <w:rFonts w:hint="eastAsia" w:ascii="黑体" w:hAnsi="黑体" w:eastAsia="黑体" w:cs="黑体"/>
      <w:b/>
      <w:bCs/>
      <w:sz w:val="28"/>
    </w:rPr>
  </w:style>
  <w:style w:type="paragraph" w:customStyle="1" w:styleId="70">
    <w:name w:val="广开一级标题"/>
    <w:basedOn w:val="1"/>
    <w:qFormat/>
    <w:uiPriority w:val="0"/>
    <w:pPr>
      <w:outlineLvl w:val="0"/>
    </w:pPr>
    <w:rPr>
      <w:rFonts w:hint="eastAsia" w:ascii="Times New Roman" w:hAnsi="Times New Roman" w:eastAsia="黑体"/>
      <w:b/>
      <w:sz w:val="32"/>
    </w:rPr>
  </w:style>
  <w:style w:type="paragraph" w:customStyle="1" w:styleId="71">
    <w:name w:val="广开二级标题"/>
    <w:basedOn w:val="1"/>
    <w:qFormat/>
    <w:uiPriority w:val="0"/>
    <w:pPr>
      <w:spacing w:before="360" w:after="360" w:line="240" w:lineRule="auto"/>
      <w:outlineLvl w:val="1"/>
    </w:pPr>
    <w:rPr>
      <w:rFonts w:hint="eastAsia" w:ascii="Times New Roman" w:hAnsi="Times New Roman" w:eastAsia="黑体"/>
      <w:b/>
      <w:sz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9A816C-B751-4B24-A8BC-7CE92CADE83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10486</Words>
  <Characters>10815</Characters>
  <Lines>253</Lines>
  <Paragraphs>71</Paragraphs>
  <TotalTime>9</TotalTime>
  <ScaleCrop>false</ScaleCrop>
  <LinksUpToDate>false</LinksUpToDate>
  <CharactersWithSpaces>15403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2022-05-09T15:08:00Z</dcterms:created>
  <dc:creator>ling</dc:creator>
  <cp:lastModifiedBy>Administrator</cp:lastModifiedBy>
  <cp:lastPrinted>2014-05-11T08:07:00Z</cp:lastPrinted>
  <dcterms:modified xsi:type="dcterms:W3CDTF">2023-03-24T01:48:00Z</dcterms:modified>
  <dc:title>目    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8AD85D6FB63B4FD9ADEFA96E62998F42</vt:lpwstr>
  </property>
</Properties>
</file>