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行楷"/>
          <w:sz w:val="52"/>
        </w:rPr>
      </w:pPr>
    </w:p>
    <w:p>
      <w:pPr>
        <w:jc w:val="center"/>
        <w:rPr>
          <w:rFonts w:eastAsia="华文行楷"/>
          <w:sz w:val="52"/>
        </w:rPr>
      </w:pPr>
    </w:p>
    <w:p>
      <w:pPr>
        <w:jc w:val="center"/>
        <w:rPr>
          <w:rFonts w:eastAsia="华文行楷"/>
          <w:sz w:val="72"/>
        </w:rPr>
      </w:pPr>
    </w:p>
    <w:p>
      <w:pPr>
        <w:jc w:val="center"/>
      </w:pPr>
    </w:p>
    <w:tbl>
      <w:tblPr>
        <w:tblStyle w:val="21"/>
        <w:tblW w:w="0" w:type="auto"/>
        <w:jc w:val="center"/>
        <w:tblLayout w:type="autofit"/>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1433" w:hRule="atLeast"/>
          <w:jc w:val="center"/>
        </w:trPr>
        <w:tc>
          <w:tcPr>
            <w:tcW w:w="8505" w:type="dxa"/>
            <w:vAlign w:val="center"/>
          </w:tcPr>
          <w:p>
            <w:pPr>
              <w:jc w:val="center"/>
              <w:rPr>
                <w:rFonts w:ascii="方正姚体简体" w:eastAsia="方正姚体简体"/>
                <w:b/>
                <w:bCs/>
                <w:sz w:val="36"/>
                <w:szCs w:val="36"/>
              </w:rPr>
            </w:pPr>
            <w:r>
              <w:rPr>
                <w:rFonts w:hint="eastAsia" w:ascii="方正姚体简体" w:eastAsia="方正姚体简体"/>
                <w:b/>
                <w:bCs/>
                <w:sz w:val="36"/>
                <w:szCs w:val="36"/>
              </w:rPr>
              <w:fldChar w:fldCharType="begin"/>
            </w:r>
            <w:r>
              <w:rPr>
                <w:rFonts w:hint="eastAsia" w:ascii="方正姚体简体" w:eastAsia="方正姚体简体"/>
                <w:b/>
                <w:bCs/>
                <w:sz w:val="36"/>
                <w:szCs w:val="36"/>
              </w:rPr>
              <w:instrText xml:space="preserve"> MERGEFIELD "题目" </w:instrText>
            </w:r>
            <w:r>
              <w:rPr>
                <w:rFonts w:hint="eastAsia" w:ascii="方正姚体简体" w:eastAsia="方正姚体简体"/>
                <w:b/>
                <w:bCs/>
                <w:sz w:val="36"/>
                <w:szCs w:val="36"/>
              </w:rPr>
              <w:fldChar w:fldCharType="separate"/>
            </w:r>
            <w:r>
              <w:rPr>
                <w:rFonts w:hint="eastAsia" w:ascii="方正姚体简体" w:eastAsia="方正姚体简体"/>
                <w:b/>
                <w:bCs/>
                <w:sz w:val="36"/>
                <w:szCs w:val="36"/>
              </w:rPr>
              <w:t>«题目»</w:t>
            </w:r>
            <w:r>
              <w:rPr>
                <w:rFonts w:hint="eastAsia" w:ascii="方正姚体简体" w:eastAsia="方正姚体简体"/>
                <w:b/>
                <w:bCs/>
                <w:sz w:val="36"/>
                <w:szCs w:val="36"/>
              </w:rPr>
              <w:fldChar w:fldCharType="end"/>
            </w:r>
          </w:p>
        </w:tc>
      </w:tr>
    </w:tbl>
    <w:p>
      <w:pPr>
        <w:ind w:left="420" w:leftChars="200" w:right="420" w:rightChars="200"/>
        <w:jc w:val="center"/>
        <w:rPr>
          <w:rFonts w:eastAsia="方正姚体"/>
          <w:b/>
          <w:bCs/>
          <w:sz w:val="36"/>
          <w:szCs w:val="36"/>
        </w:rPr>
      </w:pPr>
    </w:p>
    <w:p>
      <w:pPr>
        <w:jc w:val="center"/>
      </w:pPr>
    </w:p>
    <w:tbl>
      <w:tblPr>
        <w:tblStyle w:val="21"/>
        <w:tblW w:w="0" w:type="auto"/>
        <w:jc w:val="center"/>
        <w:tblLayout w:type="autofit"/>
        <w:tblCellMar>
          <w:top w:w="0" w:type="dxa"/>
          <w:left w:w="108" w:type="dxa"/>
          <w:bottom w:w="0" w:type="dxa"/>
          <w:right w:w="108" w:type="dxa"/>
        </w:tblCellMar>
      </w:tblPr>
      <w:tblGrid>
        <w:gridCol w:w="6866"/>
      </w:tblGrid>
      <w:tr>
        <w:tblPrEx>
          <w:tblCellMar>
            <w:top w:w="0" w:type="dxa"/>
            <w:left w:w="108" w:type="dxa"/>
            <w:bottom w:w="0" w:type="dxa"/>
            <w:right w:w="108" w:type="dxa"/>
          </w:tblCellMar>
        </w:tblPrEx>
        <w:trPr>
          <w:trHeight w:val="2036" w:hRule="atLeast"/>
          <w:jc w:val="center"/>
        </w:trPr>
        <w:tc>
          <w:tcPr>
            <w:tcW w:w="6866" w:type="dxa"/>
            <w:vAlign w:val="center"/>
          </w:tcPr>
          <w:p>
            <w:pPr>
              <w:spacing w:line="400" w:lineRule="exact"/>
              <w:ind w:left="-103" w:leftChars="-49" w:right="-107" w:rightChars="-51"/>
              <w:jc w:val="center"/>
              <w:rPr>
                <w:sz w:val="30"/>
              </w:rPr>
            </w:pPr>
            <w:r>
              <w:rPr>
                <w:sz w:val="30"/>
              </w:rPr>
              <w:t>Governance structure of listed companies and quality of accounting information</w:t>
            </w:r>
          </w:p>
          <w:p>
            <w:pPr>
              <w:spacing w:line="400" w:lineRule="exact"/>
              <w:ind w:left="-103" w:leftChars="-49" w:right="-107" w:rightChars="-51"/>
              <w:jc w:val="center"/>
              <w:rPr>
                <w:sz w:val="30"/>
              </w:rPr>
            </w:pPr>
          </w:p>
        </w:tc>
      </w:tr>
    </w:tbl>
    <w:p/>
    <w:p/>
    <w:p/>
    <w:p/>
    <w:tbl>
      <w:tblPr>
        <w:tblStyle w:val="21"/>
        <w:tblW w:w="0" w:type="auto"/>
        <w:jc w:val="center"/>
        <w:tblLayout w:type="autofit"/>
        <w:tblCellMar>
          <w:top w:w="0" w:type="dxa"/>
          <w:left w:w="108" w:type="dxa"/>
          <w:bottom w:w="0" w:type="dxa"/>
          <w:right w:w="108" w:type="dxa"/>
        </w:tblCellMar>
      </w:tblPr>
      <w:tblGrid>
        <w:gridCol w:w="1448"/>
        <w:gridCol w:w="2269"/>
        <w:gridCol w:w="427"/>
        <w:gridCol w:w="423"/>
        <w:gridCol w:w="491"/>
        <w:gridCol w:w="77"/>
        <w:gridCol w:w="1731"/>
      </w:tblGrid>
      <w:tr>
        <w:tblPrEx>
          <w:tblCellMar>
            <w:top w:w="0" w:type="dxa"/>
            <w:left w:w="108" w:type="dxa"/>
            <w:bottom w:w="0" w:type="dxa"/>
            <w:right w:w="108" w:type="dxa"/>
          </w:tblCellMar>
        </w:tblPrEx>
        <w:trPr>
          <w:jc w:val="center"/>
        </w:trPr>
        <w:tc>
          <w:tcPr>
            <w:tcW w:w="1448" w:type="dxa"/>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学生姓名</w:t>
            </w:r>
          </w:p>
        </w:tc>
        <w:tc>
          <w:tcPr>
            <w:tcW w:w="2269" w:type="dxa"/>
            <w:tcBorders>
              <w:bottom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fldChar w:fldCharType="begin"/>
            </w:r>
            <w:r>
              <w:rPr>
                <w:rFonts w:hint="eastAsia" w:ascii="仿宋_GB2312" w:eastAsia="仿宋_GB2312"/>
                <w:sz w:val="30"/>
              </w:rPr>
              <w:instrText xml:space="preserve"> MERGEFIELD "姓名" </w:instrText>
            </w:r>
            <w:r>
              <w:rPr>
                <w:rFonts w:hint="eastAsia" w:ascii="仿宋_GB2312" w:eastAsia="仿宋_GB2312"/>
                <w:sz w:val="30"/>
              </w:rPr>
              <w:fldChar w:fldCharType="separate"/>
            </w:r>
            <w:r>
              <w:rPr>
                <w:rFonts w:hint="eastAsia" w:ascii="仿宋_GB2312" w:eastAsia="仿宋_GB2312"/>
                <w:sz w:val="30"/>
              </w:rPr>
              <w:t>«姓名»</w:t>
            </w:r>
            <w:r>
              <w:rPr>
                <w:rFonts w:hint="eastAsia" w:ascii="仿宋_GB2312" w:eastAsia="仿宋_GB2312"/>
                <w:sz w:val="30"/>
              </w:rPr>
              <w:fldChar w:fldCharType="end"/>
            </w:r>
          </w:p>
        </w:tc>
        <w:tc>
          <w:tcPr>
            <w:tcW w:w="850" w:type="dxa"/>
            <w:gridSpan w:val="2"/>
            <w:vAlign w:val="center"/>
          </w:tcPr>
          <w:p>
            <w:pPr>
              <w:spacing w:line="660" w:lineRule="exact"/>
              <w:ind w:left="-103" w:leftChars="-49" w:right="-107" w:rightChars="-51"/>
              <w:jc w:val="center"/>
              <w:rPr>
                <w:rFonts w:ascii="仿宋_GB2312"/>
                <w:sz w:val="30"/>
              </w:rPr>
            </w:pPr>
            <w:r>
              <w:rPr>
                <w:rFonts w:hint="eastAsia" w:ascii="仿宋_GB2312" w:eastAsia="仿宋_GB2312"/>
                <w:sz w:val="30"/>
              </w:rPr>
              <w:t>学号</w:t>
            </w:r>
          </w:p>
        </w:tc>
        <w:tc>
          <w:tcPr>
            <w:tcW w:w="2299" w:type="dxa"/>
            <w:gridSpan w:val="3"/>
            <w:tcBorders>
              <w:left w:val="nil"/>
              <w:bottom w:val="single" w:color="auto" w:sz="4" w:space="0"/>
            </w:tcBorders>
            <w:vAlign w:val="center"/>
          </w:tcPr>
          <w:p>
            <w:pPr>
              <w:pStyle w:val="31"/>
              <w:ind w:firstLine="480"/>
              <w:rPr>
                <w:rFonts w:ascii="仿宋_GB2312" w:eastAsia="仿宋_GB2312" w:cs="宋体"/>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MERGEFIELD "学号" </w:instrText>
            </w:r>
            <w:r>
              <w:rPr>
                <w:rFonts w:hint="eastAsia" w:ascii="仿宋_GB2312" w:eastAsia="仿宋_GB2312"/>
                <w:sz w:val="24"/>
                <w:szCs w:val="24"/>
              </w:rPr>
              <w:fldChar w:fldCharType="separate"/>
            </w:r>
            <w:r>
              <w:rPr>
                <w:rFonts w:hint="eastAsia" w:ascii="仿宋_GB2312" w:eastAsia="仿宋_GB2312"/>
                <w:sz w:val="24"/>
                <w:szCs w:val="24"/>
              </w:rPr>
              <w:t>«学号»</w:t>
            </w:r>
            <w:r>
              <w:rPr>
                <w:rFonts w:hint="eastAsia" w:ascii="仿宋_GB2312" w:eastAsia="仿宋_GB2312"/>
                <w:sz w:val="24"/>
                <w:szCs w:val="24"/>
              </w:rPr>
              <w:fldChar w:fldCharType="end"/>
            </w:r>
          </w:p>
        </w:tc>
      </w:tr>
      <w:tr>
        <w:tblPrEx>
          <w:tblCellMar>
            <w:top w:w="0" w:type="dxa"/>
            <w:left w:w="108" w:type="dxa"/>
            <w:bottom w:w="0" w:type="dxa"/>
            <w:right w:w="108" w:type="dxa"/>
          </w:tblCellMar>
        </w:tblPrEx>
        <w:trPr>
          <w:cantSplit/>
          <w:jc w:val="center"/>
        </w:trPr>
        <w:tc>
          <w:tcPr>
            <w:tcW w:w="1448" w:type="dxa"/>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教 学 点</w:t>
            </w:r>
          </w:p>
        </w:tc>
        <w:tc>
          <w:tcPr>
            <w:tcW w:w="2696" w:type="dxa"/>
            <w:gridSpan w:val="2"/>
            <w:tcBorders>
              <w:bottom w:val="single" w:color="auto" w:sz="4" w:space="0"/>
            </w:tcBorders>
            <w:vAlign w:val="center"/>
          </w:tcPr>
          <w:p>
            <w:pPr>
              <w:pStyle w:val="31"/>
              <w:ind w:firstLine="600"/>
              <w:rPr>
                <w:rFonts w:hint="eastAsia" w:ascii="仿宋_GB2312" w:eastAsia="仿宋_GB2312"/>
                <w:sz w:val="30"/>
                <w:szCs w:val="30"/>
                <w:lang w:eastAsia="zh-CN"/>
              </w:rPr>
            </w:pPr>
            <w:r>
              <w:rPr>
                <w:rFonts w:hint="eastAsia" w:ascii="仿宋_GB2312" w:eastAsia="仿宋_GB2312"/>
                <w:sz w:val="30"/>
                <w:szCs w:val="30"/>
                <w:lang w:eastAsia="zh-CN"/>
              </w:rPr>
              <w:fldChar w:fldCharType="begin"/>
            </w:r>
            <w:r>
              <w:rPr>
                <w:rFonts w:hint="eastAsia" w:ascii="仿宋_GB2312" w:eastAsia="仿宋_GB2312"/>
                <w:sz w:val="30"/>
                <w:szCs w:val="30"/>
                <w:lang w:eastAsia="zh-CN"/>
              </w:rPr>
              <w:instrText xml:space="preserve"> MERGEFIELD "教学点" </w:instrText>
            </w:r>
            <w:r>
              <w:rPr>
                <w:rFonts w:hint="eastAsia" w:ascii="仿宋_GB2312" w:eastAsia="仿宋_GB2312"/>
                <w:sz w:val="30"/>
                <w:szCs w:val="30"/>
                <w:lang w:eastAsia="zh-CN"/>
              </w:rPr>
              <w:fldChar w:fldCharType="separate"/>
            </w:r>
            <w:r>
              <w:rPr>
                <w:rFonts w:hint="eastAsia" w:ascii="仿宋_GB2312" w:eastAsia="仿宋_GB2312"/>
                <w:sz w:val="30"/>
                <w:szCs w:val="30"/>
                <w:lang w:eastAsia="zh-CN"/>
              </w:rPr>
              <w:t>«教学点»</w:t>
            </w:r>
            <w:r>
              <w:rPr>
                <w:rFonts w:hint="eastAsia" w:ascii="仿宋_GB2312" w:eastAsia="仿宋_GB2312"/>
                <w:sz w:val="30"/>
                <w:szCs w:val="30"/>
                <w:lang w:eastAsia="zh-CN"/>
              </w:rPr>
              <w:fldChar w:fldCharType="end"/>
            </w:r>
          </w:p>
        </w:tc>
        <w:tc>
          <w:tcPr>
            <w:tcW w:w="991" w:type="dxa"/>
            <w:gridSpan w:val="3"/>
            <w:vAlign w:val="center"/>
          </w:tcPr>
          <w:p>
            <w:pPr>
              <w:spacing w:line="660" w:lineRule="exact"/>
              <w:ind w:left="-103" w:leftChars="-49" w:right="-107" w:rightChars="-51"/>
              <w:jc w:val="center"/>
              <w:rPr>
                <w:rFonts w:ascii="仿宋_GB2312"/>
                <w:sz w:val="30"/>
              </w:rPr>
            </w:pPr>
            <w:r>
              <w:rPr>
                <w:rFonts w:hint="eastAsia" w:ascii="仿宋_GB2312" w:eastAsia="仿宋_GB2312"/>
                <w:sz w:val="30"/>
              </w:rPr>
              <w:t>班级</w:t>
            </w:r>
          </w:p>
        </w:tc>
        <w:tc>
          <w:tcPr>
            <w:tcW w:w="1731" w:type="dxa"/>
            <w:tcBorders>
              <w:bottom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fldChar w:fldCharType="begin"/>
            </w:r>
            <w:r>
              <w:rPr>
                <w:rFonts w:hint="eastAsia" w:ascii="仿宋_GB2312" w:eastAsia="仿宋_GB2312"/>
                <w:sz w:val="30"/>
              </w:rPr>
              <w:instrText xml:space="preserve"> MERGEFIELD "班级" </w:instrText>
            </w:r>
            <w:r>
              <w:rPr>
                <w:rFonts w:hint="eastAsia" w:ascii="仿宋_GB2312" w:eastAsia="仿宋_GB2312"/>
                <w:sz w:val="30"/>
              </w:rPr>
              <w:fldChar w:fldCharType="separate"/>
            </w:r>
            <w:r>
              <w:rPr>
                <w:rFonts w:hint="eastAsia" w:ascii="仿宋_GB2312" w:eastAsia="仿宋_GB2312"/>
                <w:sz w:val="30"/>
              </w:rPr>
              <w:t>«班级»</w:t>
            </w:r>
            <w:r>
              <w:rPr>
                <w:rFonts w:hint="eastAsia" w:ascii="仿宋_GB2312" w:eastAsia="仿宋_GB2312"/>
                <w:sz w:val="30"/>
              </w:rPr>
              <w:fldChar w:fldCharType="end"/>
            </w:r>
          </w:p>
        </w:tc>
      </w:tr>
      <w:tr>
        <w:tblPrEx>
          <w:tblCellMar>
            <w:top w:w="0" w:type="dxa"/>
            <w:left w:w="108" w:type="dxa"/>
            <w:bottom w:w="0" w:type="dxa"/>
            <w:right w:w="108" w:type="dxa"/>
          </w:tblCellMar>
        </w:tblPrEx>
        <w:trPr>
          <w:cantSplit/>
          <w:jc w:val="center"/>
        </w:trPr>
        <w:tc>
          <w:tcPr>
            <w:tcW w:w="1448" w:type="dxa"/>
            <w:vAlign w:val="center"/>
          </w:tcPr>
          <w:p>
            <w:pPr>
              <w:spacing w:line="660" w:lineRule="exact"/>
              <w:ind w:left="-103" w:leftChars="-49" w:right="-107" w:rightChars="-51"/>
              <w:jc w:val="center"/>
              <w:rPr>
                <w:rFonts w:ascii="仿宋_GB2312"/>
                <w:sz w:val="30"/>
              </w:rPr>
            </w:pPr>
            <w:r>
              <w:rPr>
                <w:rFonts w:hint="eastAsia" w:ascii="仿宋_GB2312" w:eastAsia="仿宋_GB2312"/>
                <w:sz w:val="30"/>
              </w:rPr>
              <w:t>专    业</w:t>
            </w:r>
          </w:p>
        </w:tc>
        <w:tc>
          <w:tcPr>
            <w:tcW w:w="5418" w:type="dxa"/>
            <w:gridSpan w:val="6"/>
            <w:tcBorders>
              <w:bottom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fldChar w:fldCharType="begin"/>
            </w:r>
            <w:r>
              <w:rPr>
                <w:rFonts w:hint="eastAsia" w:ascii="仿宋_GB2312" w:eastAsia="仿宋_GB2312"/>
                <w:sz w:val="30"/>
              </w:rPr>
              <w:instrText xml:space="preserve"> MERGEFIELD "专业" </w:instrText>
            </w:r>
            <w:r>
              <w:rPr>
                <w:rFonts w:hint="eastAsia" w:ascii="仿宋_GB2312" w:eastAsia="仿宋_GB2312"/>
                <w:sz w:val="30"/>
              </w:rPr>
              <w:fldChar w:fldCharType="separate"/>
            </w:r>
            <w:r>
              <w:rPr>
                <w:rFonts w:hint="eastAsia" w:ascii="仿宋_GB2312" w:eastAsia="仿宋_GB2312"/>
                <w:sz w:val="30"/>
              </w:rPr>
              <w:t>«专业»</w:t>
            </w:r>
            <w:r>
              <w:rPr>
                <w:rFonts w:hint="eastAsia" w:ascii="仿宋_GB2312" w:eastAsia="仿宋_GB2312"/>
                <w:sz w:val="30"/>
              </w:rPr>
              <w:fldChar w:fldCharType="end"/>
            </w:r>
          </w:p>
        </w:tc>
      </w:tr>
      <w:tr>
        <w:tblPrEx>
          <w:tblCellMar>
            <w:top w:w="0" w:type="dxa"/>
            <w:left w:w="108" w:type="dxa"/>
            <w:bottom w:w="0" w:type="dxa"/>
            <w:right w:w="108" w:type="dxa"/>
          </w:tblCellMar>
        </w:tblPrEx>
        <w:trPr>
          <w:jc w:val="center"/>
        </w:trPr>
        <w:tc>
          <w:tcPr>
            <w:tcW w:w="1448" w:type="dxa"/>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申请学位</w:t>
            </w:r>
          </w:p>
        </w:tc>
        <w:tc>
          <w:tcPr>
            <w:tcW w:w="5418" w:type="dxa"/>
            <w:gridSpan w:val="6"/>
            <w:tcBorders>
              <w:bottom w:val="single" w:color="auto" w:sz="4" w:space="0"/>
            </w:tcBorders>
            <w:vAlign w:val="center"/>
          </w:tcPr>
          <w:p>
            <w:pPr>
              <w:spacing w:line="660" w:lineRule="exact"/>
              <w:ind w:left="-103" w:leftChars="-49" w:right="-107" w:rightChars="-51"/>
              <w:jc w:val="center"/>
              <w:rPr>
                <w:rFonts w:ascii="仿宋_GB2312"/>
                <w:sz w:val="30"/>
              </w:rPr>
            </w:pPr>
            <w:r>
              <w:rPr>
                <w:rFonts w:hint="eastAsia" w:ascii="仿宋_GB2312" w:hAnsi="仿宋_GB2312" w:eastAsia="仿宋_GB2312" w:cs="仿宋_GB2312"/>
                <w:sz w:val="30"/>
              </w:rPr>
              <w:fldChar w:fldCharType="begin"/>
            </w:r>
            <w:r>
              <w:rPr>
                <w:rFonts w:hint="eastAsia" w:ascii="仿宋_GB2312" w:hAnsi="仿宋_GB2312" w:eastAsia="仿宋_GB2312" w:cs="仿宋_GB2312"/>
                <w:sz w:val="30"/>
              </w:rPr>
              <w:instrText xml:space="preserve"> MERGEFIELD "是否申请学位" </w:instrText>
            </w:r>
            <w:r>
              <w:rPr>
                <w:rFonts w:hint="eastAsia" w:ascii="仿宋_GB2312" w:hAnsi="仿宋_GB2312" w:eastAsia="仿宋_GB2312" w:cs="仿宋_GB2312"/>
                <w:sz w:val="30"/>
              </w:rPr>
              <w:fldChar w:fldCharType="separate"/>
            </w:r>
            <w:r>
              <w:rPr>
                <w:rFonts w:hint="eastAsia" w:ascii="仿宋_GB2312" w:hAnsi="仿宋_GB2312" w:eastAsia="仿宋_GB2312" w:cs="仿宋_GB2312"/>
                <w:sz w:val="30"/>
              </w:rPr>
              <w:t>«是否申请学位»</w:t>
            </w:r>
            <w:r>
              <w:rPr>
                <w:rFonts w:hint="eastAsia" w:ascii="仿宋_GB2312" w:hAnsi="仿宋_GB2312" w:eastAsia="仿宋_GB2312" w:cs="仿宋_GB2312"/>
                <w:sz w:val="30"/>
              </w:rPr>
              <w:fldChar w:fldCharType="end"/>
            </w:r>
          </w:p>
        </w:tc>
      </w:tr>
      <w:tr>
        <w:tblPrEx>
          <w:tblCellMar>
            <w:top w:w="0" w:type="dxa"/>
            <w:left w:w="108" w:type="dxa"/>
            <w:bottom w:w="0" w:type="dxa"/>
            <w:right w:w="108" w:type="dxa"/>
          </w:tblCellMar>
        </w:tblPrEx>
        <w:trPr>
          <w:jc w:val="center"/>
        </w:trPr>
        <w:tc>
          <w:tcPr>
            <w:tcW w:w="1448" w:type="dxa"/>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指导教师</w:t>
            </w:r>
          </w:p>
        </w:tc>
        <w:tc>
          <w:tcPr>
            <w:tcW w:w="2696" w:type="dxa"/>
            <w:gridSpan w:val="2"/>
            <w:tcBorders>
              <w:top w:val="single" w:color="auto" w:sz="4" w:space="0"/>
              <w:bottom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fldChar w:fldCharType="begin"/>
            </w:r>
            <w:r>
              <w:rPr>
                <w:rFonts w:hint="eastAsia" w:ascii="仿宋_GB2312" w:eastAsia="仿宋_GB2312"/>
                <w:sz w:val="30"/>
              </w:rPr>
              <w:instrText xml:space="preserve"> MERGEFIELD "指导论文教师" </w:instrText>
            </w:r>
            <w:r>
              <w:rPr>
                <w:rFonts w:hint="eastAsia" w:ascii="仿宋_GB2312" w:eastAsia="仿宋_GB2312"/>
                <w:sz w:val="30"/>
              </w:rPr>
              <w:fldChar w:fldCharType="separate"/>
            </w:r>
            <w:r>
              <w:rPr>
                <w:rFonts w:hint="eastAsia" w:ascii="仿宋_GB2312" w:eastAsia="仿宋_GB2312"/>
                <w:sz w:val="30"/>
              </w:rPr>
              <w:t>«指导论文教师»</w:t>
            </w:r>
            <w:r>
              <w:rPr>
                <w:rFonts w:hint="eastAsia" w:ascii="仿宋_GB2312" w:eastAsia="仿宋_GB2312"/>
                <w:sz w:val="30"/>
              </w:rPr>
              <w:fldChar w:fldCharType="end"/>
            </w:r>
          </w:p>
        </w:tc>
        <w:tc>
          <w:tcPr>
            <w:tcW w:w="914" w:type="dxa"/>
            <w:gridSpan w:val="2"/>
            <w:tcBorders>
              <w:top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职称</w:t>
            </w:r>
          </w:p>
        </w:tc>
        <w:tc>
          <w:tcPr>
            <w:tcW w:w="1808" w:type="dxa"/>
            <w:gridSpan w:val="2"/>
            <w:tcBorders>
              <w:top w:val="single" w:color="auto" w:sz="4" w:space="0"/>
              <w:left w:val="nil"/>
              <w:bottom w:val="single" w:color="auto" w:sz="4" w:space="0"/>
            </w:tcBorders>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fldChar w:fldCharType="begin"/>
            </w:r>
            <w:r>
              <w:rPr>
                <w:rFonts w:hint="eastAsia" w:ascii="仿宋_GB2312" w:eastAsia="仿宋_GB2312"/>
                <w:sz w:val="30"/>
              </w:rPr>
              <w:instrText xml:space="preserve"> MERGEFIELD "导师职称" </w:instrText>
            </w:r>
            <w:r>
              <w:rPr>
                <w:rFonts w:hint="eastAsia" w:ascii="仿宋_GB2312" w:eastAsia="仿宋_GB2312"/>
                <w:sz w:val="30"/>
              </w:rPr>
              <w:fldChar w:fldCharType="separate"/>
            </w:r>
            <w:r>
              <w:rPr>
                <w:rFonts w:hint="eastAsia" w:ascii="仿宋_GB2312" w:eastAsia="仿宋_GB2312"/>
                <w:sz w:val="30"/>
              </w:rPr>
              <w:t>«导师职称»</w:t>
            </w:r>
            <w:r>
              <w:rPr>
                <w:rFonts w:hint="eastAsia" w:ascii="仿宋_GB2312" w:eastAsia="仿宋_GB2312"/>
                <w:sz w:val="30"/>
              </w:rPr>
              <w:fldChar w:fldCharType="end"/>
            </w:r>
          </w:p>
        </w:tc>
      </w:tr>
      <w:tr>
        <w:tblPrEx>
          <w:tblCellMar>
            <w:top w:w="0" w:type="dxa"/>
            <w:left w:w="108" w:type="dxa"/>
            <w:bottom w:w="0" w:type="dxa"/>
            <w:right w:w="108" w:type="dxa"/>
          </w:tblCellMar>
        </w:tblPrEx>
        <w:trPr>
          <w:jc w:val="center"/>
        </w:trPr>
        <w:tc>
          <w:tcPr>
            <w:tcW w:w="1448" w:type="dxa"/>
            <w:vAlign w:val="center"/>
          </w:tcPr>
          <w:p>
            <w:pPr>
              <w:spacing w:line="660" w:lineRule="exact"/>
              <w:ind w:left="-103" w:leftChars="-49" w:right="-107" w:rightChars="-51"/>
              <w:jc w:val="center"/>
              <w:rPr>
                <w:rFonts w:ascii="仿宋_GB2312" w:eastAsia="仿宋_GB2312"/>
                <w:sz w:val="30"/>
              </w:rPr>
            </w:pPr>
            <w:r>
              <w:rPr>
                <w:rFonts w:hint="eastAsia" w:ascii="仿宋_GB2312" w:eastAsia="仿宋_GB2312"/>
                <w:sz w:val="30"/>
              </w:rPr>
              <w:t>答辩时间</w:t>
            </w:r>
          </w:p>
        </w:tc>
        <w:tc>
          <w:tcPr>
            <w:tcW w:w="5418" w:type="dxa"/>
            <w:gridSpan w:val="6"/>
            <w:tcBorders>
              <w:bottom w:val="single" w:color="auto" w:sz="4" w:space="0"/>
            </w:tcBorders>
            <w:vAlign w:val="center"/>
          </w:tcPr>
          <w:p>
            <w:pPr>
              <w:wordWrap w:val="0"/>
              <w:spacing w:line="660" w:lineRule="exact"/>
              <w:ind w:left="-103" w:leftChars="-49" w:right="630" w:rightChars="300"/>
              <w:jc w:val="right"/>
              <w:rPr>
                <w:rFonts w:ascii="仿宋_GB2312" w:eastAsia="仿宋_GB2312"/>
                <w:sz w:val="30"/>
              </w:rPr>
            </w:pPr>
            <w:r>
              <w:rPr>
                <w:rFonts w:hint="eastAsia" w:ascii="仿宋_GB2312" w:eastAsia="仿宋_GB2312"/>
                <w:sz w:val="30"/>
              </w:rPr>
              <w:t>202</w:t>
            </w:r>
            <w:r>
              <w:rPr>
                <w:rFonts w:hint="eastAsia" w:ascii="仿宋_GB2312" w:eastAsia="仿宋_GB2312"/>
                <w:sz w:val="30"/>
                <w:lang w:val="en-US" w:eastAsia="zh-CN"/>
              </w:rPr>
              <w:t>3</w:t>
            </w:r>
            <w:r>
              <w:rPr>
                <w:rFonts w:hint="eastAsia" w:ascii="仿宋_GB2312" w:eastAsia="仿宋_GB2312"/>
                <w:sz w:val="30"/>
              </w:rPr>
              <w:t>年  10  月  17  日</w:t>
            </w:r>
          </w:p>
        </w:tc>
      </w:tr>
    </w:tbl>
    <w:p>
      <w:pPr>
        <w:jc w:val="center"/>
      </w:pPr>
      <w:bookmarkStart w:id="48" w:name="_GoBack"/>
      <w:bookmarkEnd w:id="48"/>
    </w:p>
    <w:p/>
    <w:p>
      <w:pPr>
        <w:widowControl/>
        <w:jc w:val="left"/>
      </w:pPr>
      <w:r>
        <w:br w:type="page"/>
      </w:r>
    </w:p>
    <w:p/>
    <w:p>
      <w:pPr>
        <w:widowControl/>
        <w:jc w:val="center"/>
        <w:rPr>
          <w:rFonts w:ascii="黑体" w:hAnsi="黑体" w:eastAsia="黑体"/>
          <w:b/>
          <w:sz w:val="32"/>
          <w:szCs w:val="32"/>
        </w:rPr>
      </w:pPr>
      <w:r>
        <w:rPr>
          <w:rFonts w:hint="eastAsia" w:ascii="黑体" w:hAnsi="黑体" w:eastAsia="黑体"/>
          <w:b/>
          <w:sz w:val="32"/>
          <w:szCs w:val="32"/>
        </w:rPr>
        <w:t>目  录</w:t>
      </w:r>
    </w:p>
    <w:p>
      <w:pPr>
        <w:widowControl/>
        <w:jc w:val="left"/>
      </w:pPr>
    </w:p>
    <w:p>
      <w:pPr>
        <w:pStyle w:val="17"/>
        <w:rPr>
          <w:rFonts w:asciiTheme="minorEastAsia" w:hAnsiTheme="minorEastAsia" w:eastAsiaTheme="minorEastAsia" w:cstheme="minorBidi"/>
          <w:caps w:val="0"/>
          <w:sz w:val="21"/>
          <w:szCs w:val="22"/>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"_Toc84245512" </w:instrText>
      </w:r>
      <w:r>
        <w:fldChar w:fldCharType="separate"/>
      </w:r>
      <w:r>
        <w:rPr>
          <w:rStyle w:val="25"/>
          <w:rFonts w:hint="eastAsia" w:asciiTheme="minorEastAsia" w:hAnsiTheme="minorEastAsia" w:eastAsiaTheme="minorEastAsia"/>
        </w:rPr>
        <w:t>摘</w:t>
      </w:r>
      <w:r>
        <w:rPr>
          <w:rStyle w:val="25"/>
          <w:rFonts w:asciiTheme="minorEastAsia" w:hAnsiTheme="minorEastAsia" w:eastAsiaTheme="minorEastAsia"/>
        </w:rPr>
        <w:t xml:space="preserve">  </w:t>
      </w:r>
      <w:r>
        <w:rPr>
          <w:rStyle w:val="25"/>
          <w:rFonts w:hint="eastAsia" w:asciiTheme="minorEastAsia" w:hAnsiTheme="minorEastAsia" w:eastAsiaTheme="minorEastAsia"/>
        </w:rPr>
        <w:t>要</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_Toc84245512 \h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"_Toc84245513" </w:instrText>
      </w:r>
      <w:r>
        <w:fldChar w:fldCharType="separate"/>
      </w:r>
      <w:r>
        <w:rPr>
          <w:rStyle w:val="25"/>
          <w:rFonts w:hint="default" w:ascii="Times New Roman" w:hAnsi="Times New Roman" w:cs="Times New Roman" w:eastAsiaTheme="minorEastAsia"/>
          <w:b/>
        </w:rPr>
        <w:t>abstract</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_Toc84245513 \h </w:instrText>
      </w:r>
      <w:r>
        <w:rPr>
          <w:rFonts w:asciiTheme="minorEastAsia" w:hAnsiTheme="minorEastAsia" w:eastAsiaTheme="minorEastAsia"/>
        </w:rPr>
        <w:fldChar w:fldCharType="separate"/>
      </w:r>
      <w:r>
        <w:rPr>
          <w:rFonts w:asciiTheme="minorEastAsia" w:hAnsiTheme="minorEastAsia" w:eastAsiaTheme="minorEastAsia"/>
        </w:rPr>
        <w:t>II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tabs>
          <w:tab w:val="left" w:pos="300"/>
          <w:tab w:val="clear" w:pos="540"/>
        </w:tabs>
        <w:rPr>
          <w:rFonts w:asciiTheme="minorEastAsia" w:hAnsiTheme="minorEastAsia" w:eastAsiaTheme="minorEastAsia" w:cstheme="minorBidi"/>
          <w:caps w:val="0"/>
          <w:sz w:val="21"/>
          <w:szCs w:val="22"/>
        </w:rPr>
      </w:pPr>
      <w:r>
        <w:fldChar w:fldCharType="begin"/>
      </w:r>
      <w:r>
        <w:instrText xml:space="preserve"> HYPERLINK \l "_Toc84245514" </w:instrText>
      </w:r>
      <w:r>
        <w:fldChar w:fldCharType="separate"/>
      </w:r>
      <w:r>
        <w:rPr>
          <w:rStyle w:val="25"/>
          <w:rFonts w:asciiTheme="minorEastAsia" w:hAnsiTheme="minorEastAsia" w:eastAsiaTheme="minorEastAsia"/>
        </w:rPr>
        <w:t>1</w:t>
      </w:r>
      <w:r>
        <w:rPr>
          <w:rFonts w:asciiTheme="minorEastAsia" w:hAnsiTheme="minorEastAsia" w:eastAsiaTheme="minorEastAsia" w:cstheme="minorBidi"/>
          <w:caps w:val="0"/>
          <w:sz w:val="21"/>
          <w:szCs w:val="22"/>
        </w:rPr>
        <w:tab/>
      </w:r>
      <w:r>
        <w:rPr>
          <w:rStyle w:val="25"/>
          <w:rFonts w:hint="eastAsia" w:asciiTheme="minorEastAsia" w:hAnsiTheme="minorEastAsia" w:eastAsiaTheme="minorEastAsia"/>
        </w:rPr>
        <w:t>绪论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_Toc84245514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"_Toc84245515" </w:instrText>
      </w:r>
      <w:r>
        <w:fldChar w:fldCharType="separate"/>
      </w:r>
      <w:r>
        <w:rPr>
          <w:rStyle w:val="25"/>
          <w:rFonts w:asciiTheme="minorEastAsia" w:hAnsiTheme="minorEastAsia" w:eastAsiaTheme="minorEastAsia"/>
          <w:kern w:val="44"/>
        </w:rPr>
        <w:t>1.1</w:t>
      </w:r>
      <w:r>
        <w:rPr>
          <w:rStyle w:val="25"/>
          <w:rFonts w:hint="eastAsia" w:asciiTheme="minorEastAsia" w:hAnsiTheme="minorEastAsia" w:eastAsiaTheme="minorEastAsia"/>
          <w:kern w:val="44"/>
        </w:rPr>
        <w:t>研究的背景及意义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_Toc84245515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"_Toc84245516" </w:instrText>
      </w:r>
      <w:r>
        <w:fldChar w:fldCharType="separate"/>
      </w:r>
      <w:r>
        <w:rPr>
          <w:rStyle w:val="25"/>
          <w:rFonts w:asciiTheme="minorEastAsia" w:hAnsiTheme="minorEastAsia" w:eastAsiaTheme="minorEastAsia"/>
          <w:kern w:val="44"/>
        </w:rPr>
        <w:t>1.2</w:t>
      </w:r>
      <w:r>
        <w:rPr>
          <w:rStyle w:val="25"/>
          <w:rFonts w:hint="eastAsia" w:asciiTheme="minorEastAsia" w:hAnsiTheme="minorEastAsia" w:eastAsiaTheme="minorEastAsia"/>
          <w:kern w:val="44"/>
        </w:rPr>
        <w:t>文献综述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_Toc84245516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"_Toc84245517" </w:instrText>
      </w:r>
      <w:r>
        <w:fldChar w:fldCharType="separate"/>
      </w:r>
      <w:r>
        <w:rPr>
          <w:rStyle w:val="25"/>
          <w:rFonts w:asciiTheme="minorEastAsia" w:hAnsiTheme="minorEastAsia" w:eastAsiaTheme="minorEastAsia"/>
          <w:kern w:val="44"/>
        </w:rPr>
        <w:t>2</w:t>
      </w:r>
      <w:r>
        <w:rPr>
          <w:rStyle w:val="25"/>
          <w:rFonts w:hint="eastAsia" w:asciiTheme="minorEastAsia" w:hAnsiTheme="minorEastAsia" w:eastAsiaTheme="minorEastAsia"/>
          <w:kern w:val="44"/>
        </w:rPr>
        <w:t>重要概念综述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_Toc84245517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"_Toc84245518" </w:instrText>
      </w:r>
      <w:r>
        <w:fldChar w:fldCharType="separate"/>
      </w:r>
      <w:r>
        <w:rPr>
          <w:rStyle w:val="25"/>
          <w:rFonts w:asciiTheme="minorEastAsia" w:hAnsiTheme="minorEastAsia" w:eastAsiaTheme="minorEastAsia"/>
          <w:kern w:val="44"/>
        </w:rPr>
        <w:t>2.1</w:t>
      </w:r>
      <w:r>
        <w:rPr>
          <w:rStyle w:val="25"/>
          <w:rFonts w:hint="eastAsia" w:asciiTheme="minorEastAsia" w:hAnsiTheme="minorEastAsia" w:eastAsiaTheme="minorEastAsia"/>
          <w:kern w:val="44"/>
        </w:rPr>
        <w:t>公司治理结构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120" w:firstLineChars="50"/>
        <w:rPr>
          <w:rFonts w:asciiTheme="minorEastAsia" w:hAnsiTheme="minorEastAsia" w:eastAsiaTheme="minorEastAsia" w:cstheme="minorBidi"/>
          <w:caps w:val="0"/>
          <w:sz w:val="21"/>
          <w:szCs w:val="22"/>
        </w:rPr>
      </w:pPr>
      <w:r>
        <w:fldChar w:fldCharType="begin"/>
      </w:r>
      <w:r>
        <w:instrText xml:space="preserve"> HYPERLINK \l "_Toc84245519" </w:instrText>
      </w:r>
      <w:r>
        <w:fldChar w:fldCharType="separate"/>
      </w:r>
      <w:r>
        <w:rPr>
          <w:rStyle w:val="25"/>
          <w:rFonts w:asciiTheme="minorEastAsia" w:hAnsiTheme="minorEastAsia" w:eastAsiaTheme="minorEastAsia"/>
          <w:kern w:val="44"/>
        </w:rPr>
        <w:t>2.2</w:t>
      </w:r>
      <w:r>
        <w:rPr>
          <w:rStyle w:val="25"/>
          <w:rFonts w:hint="eastAsia" w:asciiTheme="minorEastAsia" w:hAnsiTheme="minorEastAsia" w:eastAsiaTheme="minorEastAsia"/>
          <w:kern w:val="44"/>
        </w:rPr>
        <w:t>会计信息质量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_Toc84245519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"_Toc84245520" </w:instrText>
      </w:r>
      <w:r>
        <w:fldChar w:fldCharType="separate"/>
      </w:r>
      <w:r>
        <w:rPr>
          <w:rStyle w:val="25"/>
          <w:rFonts w:asciiTheme="minorEastAsia" w:hAnsiTheme="minorEastAsia" w:eastAsiaTheme="minorEastAsia"/>
          <w:kern w:val="44"/>
        </w:rPr>
        <w:t>2.3</w:t>
      </w:r>
      <w:r>
        <w:rPr>
          <w:rStyle w:val="25"/>
          <w:rFonts w:hint="eastAsia" w:asciiTheme="minorEastAsia" w:hAnsiTheme="minorEastAsia" w:eastAsiaTheme="minorEastAsia"/>
          <w:kern w:val="44"/>
        </w:rPr>
        <w:t>公司治理与会计信息质量两者之间的相互关系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_Toc84245520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480" w:firstLineChars="200"/>
        <w:rPr>
          <w:rFonts w:asciiTheme="minorEastAsia" w:hAnsiTheme="minorEastAsia" w:eastAsiaTheme="minorEastAsia" w:cstheme="minorBidi"/>
          <w:caps w:val="0"/>
          <w:sz w:val="21"/>
          <w:szCs w:val="22"/>
        </w:rPr>
      </w:pPr>
      <w:r>
        <w:fldChar w:fldCharType="begin"/>
      </w:r>
      <w:r>
        <w:instrText xml:space="preserve"> HYPERLINK \l "_Toc84245521" </w:instrText>
      </w:r>
      <w:r>
        <w:fldChar w:fldCharType="separate"/>
      </w:r>
      <w:r>
        <w:rPr>
          <w:rStyle w:val="25"/>
          <w:rFonts w:asciiTheme="minorEastAsia" w:hAnsiTheme="minorEastAsia" w:eastAsiaTheme="minorEastAsia"/>
          <w:kern w:val="44"/>
        </w:rPr>
        <w:t>2.3.1</w:t>
      </w:r>
      <w:r>
        <w:rPr>
          <w:rStyle w:val="25"/>
          <w:rFonts w:hint="eastAsia" w:asciiTheme="minorEastAsia" w:hAnsiTheme="minorEastAsia" w:eastAsiaTheme="minorEastAsia"/>
          <w:kern w:val="44"/>
        </w:rPr>
        <w:t>有效的公司治理是会计信息质量的保障</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_Toc84245521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480" w:firstLineChars="200"/>
        <w:rPr>
          <w:rFonts w:asciiTheme="minorEastAsia" w:hAnsiTheme="minorEastAsia" w:eastAsiaTheme="minorEastAsia" w:cstheme="minorBidi"/>
          <w:caps w:val="0"/>
          <w:sz w:val="21"/>
          <w:szCs w:val="22"/>
        </w:rPr>
      </w:pPr>
      <w:r>
        <w:fldChar w:fldCharType="begin"/>
      </w:r>
      <w:r>
        <w:instrText xml:space="preserve"> HYPERLINK \l "_Toc84245522" </w:instrText>
      </w:r>
      <w:r>
        <w:fldChar w:fldCharType="separate"/>
      </w:r>
      <w:r>
        <w:rPr>
          <w:rStyle w:val="25"/>
          <w:rFonts w:asciiTheme="minorEastAsia" w:hAnsiTheme="minorEastAsia" w:eastAsiaTheme="minorEastAsia"/>
          <w:kern w:val="44"/>
        </w:rPr>
        <w:t>2.3.2</w:t>
      </w:r>
      <w:r>
        <w:rPr>
          <w:rStyle w:val="25"/>
          <w:rFonts w:hint="eastAsia" w:asciiTheme="minorEastAsia" w:hAnsiTheme="minorEastAsia" w:eastAsiaTheme="minorEastAsia"/>
          <w:kern w:val="44"/>
        </w:rPr>
        <w:t>高质量的会计信息能够帮助公司进行治理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_Toc84245522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"_Toc84245523" </w:instrText>
      </w:r>
      <w:r>
        <w:fldChar w:fldCharType="separate"/>
      </w:r>
      <w:r>
        <w:rPr>
          <w:rStyle w:val="25"/>
          <w:rFonts w:asciiTheme="minorEastAsia" w:hAnsiTheme="minorEastAsia" w:eastAsiaTheme="minorEastAsia"/>
          <w:kern w:val="44"/>
        </w:rPr>
        <w:t>3</w:t>
      </w:r>
      <w:r>
        <w:rPr>
          <w:rStyle w:val="25"/>
          <w:rFonts w:hint="eastAsia" w:asciiTheme="minorEastAsia" w:hAnsiTheme="minorEastAsia" w:eastAsiaTheme="minorEastAsia"/>
          <w:kern w:val="44"/>
        </w:rPr>
        <w:t>公司治理结构的问题及其对会计信息质量的影响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_Toc84245523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"_Toc84245524" </w:instrText>
      </w:r>
      <w:r>
        <w:fldChar w:fldCharType="separate"/>
      </w:r>
      <w:r>
        <w:rPr>
          <w:rStyle w:val="25"/>
          <w:rFonts w:asciiTheme="minorEastAsia" w:hAnsiTheme="minorEastAsia" w:eastAsiaTheme="minorEastAsia"/>
          <w:kern w:val="44"/>
        </w:rPr>
        <w:t>3.1</w:t>
      </w:r>
      <w:r>
        <w:rPr>
          <w:rStyle w:val="25"/>
          <w:rFonts w:hint="eastAsia" w:asciiTheme="minorEastAsia" w:hAnsiTheme="minorEastAsia" w:eastAsiaTheme="minorEastAsia"/>
          <w:kern w:val="44"/>
        </w:rPr>
        <w:t>股权结构不合理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"_Toc84245525" </w:instrText>
      </w:r>
      <w:r>
        <w:fldChar w:fldCharType="separate"/>
      </w:r>
      <w:r>
        <w:rPr>
          <w:rStyle w:val="25"/>
          <w:rFonts w:asciiTheme="minorEastAsia" w:hAnsiTheme="minorEastAsia" w:eastAsiaTheme="minorEastAsia"/>
          <w:kern w:val="44"/>
        </w:rPr>
        <w:t>3.2</w:t>
      </w:r>
      <w:r>
        <w:rPr>
          <w:rStyle w:val="25"/>
          <w:rFonts w:hint="eastAsia" w:asciiTheme="minorEastAsia" w:hAnsiTheme="minorEastAsia" w:eastAsiaTheme="minorEastAsia"/>
          <w:kern w:val="44"/>
        </w:rPr>
        <w:t>董事会功能弱化</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_Toc84245525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"_Toc84245526" </w:instrText>
      </w:r>
      <w:r>
        <w:fldChar w:fldCharType="separate"/>
      </w:r>
      <w:r>
        <w:rPr>
          <w:rStyle w:val="25"/>
          <w:rFonts w:asciiTheme="minorEastAsia" w:hAnsiTheme="minorEastAsia" w:eastAsiaTheme="minorEastAsia"/>
          <w:kern w:val="44"/>
        </w:rPr>
        <w:t>3.3</w:t>
      </w:r>
      <w:r>
        <w:rPr>
          <w:rStyle w:val="25"/>
          <w:rFonts w:hint="eastAsia" w:asciiTheme="minorEastAsia" w:hAnsiTheme="minorEastAsia" w:eastAsiaTheme="minorEastAsia"/>
          <w:kern w:val="44"/>
        </w:rPr>
        <w:t>监事会的独立性丧失</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_Toc84245526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"_Toc84245527" </w:instrText>
      </w:r>
      <w:r>
        <w:fldChar w:fldCharType="separate"/>
      </w:r>
      <w:r>
        <w:rPr>
          <w:rStyle w:val="25"/>
          <w:rFonts w:asciiTheme="minorEastAsia" w:hAnsiTheme="minorEastAsia" w:eastAsiaTheme="minorEastAsia"/>
          <w:kern w:val="44"/>
        </w:rPr>
        <w:t>3.4</w:t>
      </w:r>
      <w:r>
        <w:rPr>
          <w:rStyle w:val="25"/>
          <w:rFonts w:hint="eastAsia" w:asciiTheme="minorEastAsia" w:hAnsiTheme="minorEastAsia" w:eastAsiaTheme="minorEastAsia"/>
          <w:kern w:val="44"/>
        </w:rPr>
        <w:t>过分着重股东利益忽视利益相关者的利益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_Toc84245527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"_Toc84245528" </w:instrText>
      </w:r>
      <w:r>
        <w:fldChar w:fldCharType="separate"/>
      </w:r>
      <w:r>
        <w:rPr>
          <w:rStyle w:val="25"/>
          <w:rFonts w:asciiTheme="minorEastAsia" w:hAnsiTheme="minorEastAsia" w:eastAsiaTheme="minorEastAsia"/>
          <w:kern w:val="44"/>
        </w:rPr>
        <w:t>4</w:t>
      </w:r>
      <w:r>
        <w:rPr>
          <w:rStyle w:val="25"/>
          <w:rFonts w:hint="eastAsia" w:asciiTheme="minorEastAsia" w:hAnsiTheme="minorEastAsia" w:eastAsiaTheme="minorEastAsia"/>
          <w:kern w:val="44"/>
        </w:rPr>
        <w:t>改善公司治理结构提高上市公司会计信息质量的策略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_Toc84245528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"_Toc84245529" </w:instrText>
      </w:r>
      <w:r>
        <w:fldChar w:fldCharType="separate"/>
      </w:r>
      <w:r>
        <w:rPr>
          <w:rStyle w:val="25"/>
          <w:rFonts w:asciiTheme="minorEastAsia" w:hAnsiTheme="minorEastAsia" w:eastAsiaTheme="minorEastAsia"/>
          <w:kern w:val="44"/>
        </w:rPr>
        <w:t>4.1</w:t>
      </w:r>
      <w:r>
        <w:rPr>
          <w:rStyle w:val="25"/>
          <w:rFonts w:hint="eastAsia" w:asciiTheme="minorEastAsia" w:hAnsiTheme="minorEastAsia" w:eastAsiaTheme="minorEastAsia"/>
          <w:kern w:val="44"/>
        </w:rPr>
        <w:t>进一步优化股权结构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_Toc84245529 \h </w:instrText>
      </w:r>
      <w:r>
        <w:rPr>
          <w:rFonts w:asciiTheme="minorEastAsia" w:hAnsiTheme="minorEastAsia" w:eastAsiaTheme="minorEastAsia"/>
        </w:rPr>
        <w:fldChar w:fldCharType="separate"/>
      </w:r>
      <w:r>
        <w:rPr>
          <w:rFonts w:asciiTheme="minorEastAsia" w:hAnsiTheme="minorEastAsia" w:eastAsiaTheme="minorEastAsia"/>
        </w:rPr>
        <w:t>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"_Toc84245530" </w:instrText>
      </w:r>
      <w:r>
        <w:fldChar w:fldCharType="separate"/>
      </w:r>
      <w:r>
        <w:rPr>
          <w:rStyle w:val="25"/>
          <w:rFonts w:asciiTheme="minorEastAsia" w:hAnsiTheme="minorEastAsia" w:eastAsiaTheme="minorEastAsia"/>
          <w:kern w:val="44"/>
        </w:rPr>
        <w:t>4.2</w:t>
      </w:r>
      <w:r>
        <w:rPr>
          <w:rStyle w:val="25"/>
          <w:rFonts w:hint="eastAsia" w:asciiTheme="minorEastAsia" w:hAnsiTheme="minorEastAsia" w:eastAsiaTheme="minorEastAsia"/>
          <w:kern w:val="44"/>
        </w:rPr>
        <w:t>健全董事会，完善董事会的职能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_Toc84245530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"_Toc84245531" </w:instrText>
      </w:r>
      <w:r>
        <w:fldChar w:fldCharType="separate"/>
      </w:r>
      <w:r>
        <w:rPr>
          <w:rStyle w:val="25"/>
          <w:rFonts w:asciiTheme="minorEastAsia" w:hAnsiTheme="minorEastAsia" w:eastAsiaTheme="minorEastAsia"/>
          <w:kern w:val="44"/>
        </w:rPr>
        <w:t>4.3</w:t>
      </w:r>
      <w:r>
        <w:rPr>
          <w:rStyle w:val="25"/>
          <w:rFonts w:hint="eastAsia" w:asciiTheme="minorEastAsia" w:hAnsiTheme="minorEastAsia" w:eastAsiaTheme="minorEastAsia"/>
          <w:kern w:val="44"/>
        </w:rPr>
        <w:t>强化监事会的职能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_Toc84245531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ind w:firstLine="240" w:firstLineChars="100"/>
        <w:rPr>
          <w:rFonts w:asciiTheme="minorEastAsia" w:hAnsiTheme="minorEastAsia" w:eastAsiaTheme="minorEastAsia" w:cstheme="minorBidi"/>
          <w:caps w:val="0"/>
          <w:sz w:val="21"/>
          <w:szCs w:val="22"/>
        </w:rPr>
      </w:pPr>
      <w:r>
        <w:fldChar w:fldCharType="begin"/>
      </w:r>
      <w:r>
        <w:instrText xml:space="preserve"> HYPERLINK \l "_Toc84245532" </w:instrText>
      </w:r>
      <w:r>
        <w:fldChar w:fldCharType="separate"/>
      </w:r>
      <w:r>
        <w:rPr>
          <w:rStyle w:val="25"/>
          <w:rFonts w:asciiTheme="minorEastAsia" w:hAnsiTheme="minorEastAsia" w:eastAsiaTheme="minorEastAsia"/>
          <w:kern w:val="44"/>
        </w:rPr>
        <w:t>4.4</w:t>
      </w:r>
      <w:r>
        <w:rPr>
          <w:rStyle w:val="25"/>
          <w:rFonts w:hint="eastAsia" w:asciiTheme="minorEastAsia" w:hAnsiTheme="minorEastAsia" w:eastAsiaTheme="minorEastAsia"/>
          <w:kern w:val="44"/>
        </w:rPr>
        <w:t>经理等利益相关者参与管理模式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_Toc84245532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"_Toc84245533" </w:instrText>
      </w:r>
      <w:r>
        <w:fldChar w:fldCharType="separate"/>
      </w:r>
      <w:r>
        <w:rPr>
          <w:rStyle w:val="25"/>
          <w:rFonts w:hint="eastAsia" w:asciiTheme="minorEastAsia" w:hAnsiTheme="minorEastAsia" w:eastAsiaTheme="minorEastAsia"/>
          <w:kern w:val="44"/>
        </w:rPr>
        <w:t>结束语</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_Toc84245533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"_Toc84245534" </w:instrText>
      </w:r>
      <w:r>
        <w:fldChar w:fldCharType="separate"/>
      </w:r>
      <w:r>
        <w:rPr>
          <w:rStyle w:val="25"/>
          <w:rFonts w:hint="eastAsia" w:asciiTheme="minorEastAsia" w:hAnsiTheme="minorEastAsia" w:eastAsiaTheme="minorEastAsia"/>
        </w:rPr>
        <w:t>鸣</w:t>
      </w:r>
      <w:r>
        <w:rPr>
          <w:rStyle w:val="25"/>
          <w:rFonts w:asciiTheme="minorEastAsia" w:hAnsiTheme="minorEastAsia" w:eastAsiaTheme="minorEastAsia"/>
        </w:rPr>
        <w:t xml:space="preserve">  </w:t>
      </w:r>
      <w:r>
        <w:rPr>
          <w:rStyle w:val="25"/>
          <w:rFonts w:hint="eastAsia" w:asciiTheme="minorEastAsia" w:hAnsiTheme="minorEastAsia" w:eastAsiaTheme="minorEastAsia"/>
        </w:rPr>
        <w:t>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_Toc84245534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7"/>
        <w:rPr>
          <w:rFonts w:asciiTheme="minorEastAsia" w:hAnsiTheme="minorEastAsia" w:eastAsiaTheme="minorEastAsia" w:cstheme="minorBidi"/>
          <w:caps w:val="0"/>
          <w:sz w:val="21"/>
          <w:szCs w:val="22"/>
        </w:rPr>
      </w:pPr>
      <w:r>
        <w:fldChar w:fldCharType="begin"/>
      </w:r>
      <w:r>
        <w:instrText xml:space="preserve"> HYPERLINK \l "_Toc84245535" </w:instrText>
      </w:r>
      <w:r>
        <w:fldChar w:fldCharType="separate"/>
      </w:r>
      <w:r>
        <w:rPr>
          <w:rStyle w:val="25"/>
          <w:rFonts w:hint="eastAsia" w:asciiTheme="minorEastAsia" w:hAnsiTheme="minorEastAsia" w:eastAsiaTheme="minorEastAsia"/>
        </w:rPr>
        <w:t>参考文献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_Toc84245535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sectPr>
          <w:headerReference r:id="rId3" w:type="first"/>
          <w:footerReference r:id="rId4" w:type="default"/>
          <w:footerReference r:id="rId5" w:type="even"/>
          <w:pgSz w:w="11907" w:h="16840"/>
          <w:pgMar w:top="1418" w:right="1134" w:bottom="1418" w:left="1418" w:header="964" w:footer="964" w:gutter="284"/>
          <w:pgNumType w:start="1"/>
          <w:cols w:space="425" w:num="1"/>
          <w:titlePg/>
          <w:docGrid w:type="lines" w:linePitch="312" w:charSpace="0"/>
        </w:sectPr>
      </w:pPr>
      <w:r>
        <w:rPr>
          <w:rFonts w:asciiTheme="minorEastAsia" w:hAnsiTheme="minorEastAsia" w:eastAsiaTheme="minorEastAsia"/>
        </w:rPr>
        <w:fldChar w:fldCharType="end"/>
      </w:r>
    </w:p>
    <w:p>
      <w:pPr>
        <w:spacing w:line="300" w:lineRule="auto"/>
        <w:rPr>
          <w:rFonts w:ascii="宋体" w:hAnsi="宋体"/>
          <w:sz w:val="24"/>
        </w:rPr>
      </w:pPr>
    </w:p>
    <w:p>
      <w:pPr>
        <w:pStyle w:val="2"/>
        <w:numPr>
          <w:ilvl w:val="0"/>
          <w:numId w:val="0"/>
        </w:numPr>
        <w:rPr>
          <w:sz w:val="30"/>
        </w:rPr>
      </w:pPr>
      <w:bookmarkStart w:id="0" w:name="_Toc84245512"/>
      <w:bookmarkStart w:id="1" w:name="_Toc83491319"/>
      <w:r>
        <w:rPr>
          <w:rFonts w:hint="eastAsia"/>
          <w:sz w:val="30"/>
        </w:rPr>
        <w:t>摘  要</w:t>
      </w:r>
      <w:bookmarkEnd w:id="0"/>
      <w:bookmarkEnd w:id="1"/>
    </w:p>
    <w:p>
      <w:pPr>
        <w:spacing w:line="400" w:lineRule="exact"/>
        <w:rPr>
          <w:rFonts w:ascii="宋体" w:hAnsi="宋体"/>
          <w:sz w:val="24"/>
        </w:rPr>
      </w:pPr>
    </w:p>
    <w:p>
      <w:pPr>
        <w:pStyle w:val="31"/>
      </w:pPr>
      <w:r>
        <w:rPr>
          <w:rFonts w:hint="eastAsia"/>
        </w:rPr>
        <w:t>伴随着我国市场经济的不断发展，我国上市公司在数量和规模上都有了很大的发展，但一些信息质量的问题也不断出现，比如信息披露不及时、信息质量不好等。虽然有关监管部门为提高会计信息质量采取了许多的措施手段，但会计信息造假等现象仍普遍存在，让整个证券市场环境不规范，从小的方面来讲，让投资者的资金受到损失，也让他们对上市公司出现怨言。从大的市场环境来讲，不利于证券市场环境的健全和发展。随着世界经济的相互整合，公司治理结构与会计质量的关系受到了相关学者的广泛关注。有相当多一部分学者认为，公司治理结构能够促进企业建立完善的会计信息质量，可以让更多的投资者受益。笔者认为公司治理结构中存在的问题，如股权结构不合理，董事会功能弱化，监事会的独立性丧失，过分强调股东本位，忽视对利益相关者的保护是影响会计信息质量不高的原因，基于此，并提出了解决问题的对策，要让董事会重视公司治理制度，要制定内部的监事会，要对财务报表进行管理和监管。</w:t>
      </w:r>
    </w:p>
    <w:p>
      <w:pPr>
        <w:spacing w:line="400" w:lineRule="exact"/>
        <w:rPr>
          <w:rFonts w:ascii="宋体" w:hAnsi="宋体"/>
          <w:sz w:val="24"/>
        </w:rPr>
      </w:pPr>
    </w:p>
    <w:p>
      <w:pPr>
        <w:spacing w:line="400" w:lineRule="exact"/>
        <w:rPr>
          <w:rFonts w:ascii="宋体" w:hAnsi="宋体"/>
          <w:sz w:val="24"/>
        </w:rPr>
        <w:sectPr>
          <w:headerReference r:id="rId6" w:type="default"/>
          <w:footerReference r:id="rId7" w:type="default"/>
          <w:pgSz w:w="11907" w:h="16840"/>
          <w:pgMar w:top="1418" w:right="1134" w:bottom="1418" w:left="1418" w:header="964" w:footer="964" w:gutter="284"/>
          <w:pgNumType w:fmt="upperRoman" w:start="1"/>
          <w:cols w:space="425" w:num="1"/>
          <w:docGrid w:type="lines" w:linePitch="312" w:charSpace="0"/>
        </w:sectPr>
      </w:pPr>
      <w:r>
        <w:rPr>
          <w:rFonts w:hint="eastAsia" w:ascii="黑体" w:hAnsi="宋体" w:eastAsia="黑体"/>
          <w:bCs/>
          <w:szCs w:val="21"/>
        </w:rPr>
        <w:t>关键词：</w:t>
      </w:r>
      <w:r>
        <w:rPr>
          <w:rFonts w:hint="eastAsia" w:ascii="宋体" w:hAnsi="宋体"/>
          <w:bCs/>
          <w:szCs w:val="21"/>
        </w:rPr>
        <w:t>公司治理</w:t>
      </w:r>
      <w:r>
        <w:rPr>
          <w:rFonts w:hint="eastAsia" w:ascii="宋体" w:hAnsi="宋体"/>
          <w:szCs w:val="21"/>
        </w:rPr>
        <w:t>；</w:t>
      </w:r>
      <w:r>
        <w:rPr>
          <w:rFonts w:hint="eastAsia" w:ascii="宋体" w:hAnsi="宋体"/>
          <w:bCs/>
          <w:szCs w:val="21"/>
        </w:rPr>
        <w:t>公司治理结构</w:t>
      </w:r>
      <w:r>
        <w:rPr>
          <w:rFonts w:hint="eastAsia" w:ascii="宋体" w:hAnsi="宋体"/>
          <w:szCs w:val="21"/>
        </w:rPr>
        <w:t>；</w:t>
      </w:r>
      <w:r>
        <w:rPr>
          <w:rFonts w:hint="eastAsia" w:ascii="宋体" w:hAnsi="宋体"/>
          <w:bCs/>
          <w:szCs w:val="21"/>
        </w:rPr>
        <w:t>会计信息</w:t>
      </w:r>
      <w:r>
        <w:rPr>
          <w:rFonts w:hint="eastAsia" w:ascii="宋体" w:hAnsi="宋体"/>
          <w:szCs w:val="21"/>
        </w:rPr>
        <w:t>；</w:t>
      </w:r>
      <w:r>
        <w:rPr>
          <w:rFonts w:hint="eastAsia" w:ascii="宋体" w:hAnsi="宋体"/>
          <w:bCs/>
          <w:szCs w:val="21"/>
        </w:rPr>
        <w:t>会计信息质量</w:t>
      </w:r>
    </w:p>
    <w:p>
      <w:pPr>
        <w:spacing w:line="300" w:lineRule="auto"/>
        <w:rPr>
          <w:sz w:val="24"/>
        </w:rPr>
      </w:pPr>
    </w:p>
    <w:p>
      <w:pPr>
        <w:pStyle w:val="2"/>
        <w:numPr>
          <w:ilvl w:val="0"/>
          <w:numId w:val="0"/>
        </w:numPr>
        <w:rPr>
          <w:b/>
          <w:sz w:val="30"/>
        </w:rPr>
      </w:pPr>
      <w:bookmarkStart w:id="2" w:name="_Toc84245513"/>
      <w:bookmarkStart w:id="3" w:name="_Toc83491320"/>
      <w:r>
        <w:rPr>
          <w:b/>
          <w:sz w:val="30"/>
        </w:rPr>
        <w:t>abstract</w:t>
      </w:r>
      <w:bookmarkEnd w:id="2"/>
      <w:bookmarkEnd w:id="3"/>
    </w:p>
    <w:p>
      <w:pPr>
        <w:spacing w:line="300" w:lineRule="auto"/>
        <w:rPr>
          <w:sz w:val="24"/>
        </w:rPr>
      </w:pPr>
    </w:p>
    <w:p>
      <w:pPr>
        <w:spacing w:line="300" w:lineRule="auto"/>
        <w:ind w:firstLine="420" w:firstLineChars="200"/>
        <w:rPr>
          <w:szCs w:val="21"/>
        </w:rPr>
      </w:pPr>
      <w:r>
        <w:rPr>
          <w:szCs w:val="21"/>
        </w:rPr>
        <w:t>With the continuous development of China's market economy, China's listed companies have made great progress in quantity and scale, but some information quality problems also continue to appear, such as untimely information disclosure and low information quality. Although the relevant regulatory authorities have taken many measures to improve the quality of accounting information, accounting information fraud and other phenomena are still common, which makes the whole securities market environment non-standard. From a small point of view, it not only makes investors lose their funds, but also makes them complain about listed companies. In terms of the large market environment, it is not conducive to the sound and development of the securities market environment. With the integration of the world economy, the relationship between corporate governance structure and accounting quality has attracted extensive attention of relevant scholars. A considerable number of scholars believe that corporate governance structure can promote enterprises to establish perfect accounting information quality and benefit more investors. The author believes that the problems existing in the corporate governance structure, such as the unreasonable ownership structure, the weakening of the function of the board of directors, the loss of the independence of the board of supervisors, the excessive emphasis on the shareholder standard and the neglect of the protection of stakeholders are the reasons for the low quality of accounting information. Based on this, the author puts forward the countermeasures to solve the problems, so that the board of directors should pay attention to the corporate governance system, We should formulate an internal board of supervisors and manage and supervise the financial statements.</w:t>
      </w:r>
    </w:p>
    <w:p>
      <w:pPr>
        <w:spacing w:line="300" w:lineRule="auto"/>
        <w:rPr>
          <w:sz w:val="24"/>
        </w:rPr>
      </w:pPr>
    </w:p>
    <w:p>
      <w:pPr>
        <w:spacing w:line="300" w:lineRule="auto"/>
        <w:rPr>
          <w:b/>
          <w:bCs/>
          <w:caps/>
          <w:sz w:val="24"/>
        </w:rPr>
        <w:sectPr>
          <w:headerReference r:id="rId8" w:type="default"/>
          <w:pgSz w:w="11907" w:h="16840"/>
          <w:pgMar w:top="1418" w:right="1134" w:bottom="1418" w:left="1418" w:header="964" w:footer="964" w:gutter="284"/>
          <w:pgNumType w:fmt="upperRoman"/>
          <w:cols w:space="425" w:num="1"/>
          <w:docGrid w:type="lines" w:linePitch="312" w:charSpace="0"/>
        </w:sectPr>
      </w:pPr>
      <w:r>
        <w:rPr>
          <w:b/>
          <w:bCs/>
          <w:caps/>
          <w:sz w:val="24"/>
        </w:rPr>
        <w:t xml:space="preserve">Keywords: </w:t>
      </w:r>
      <w:r>
        <w:rPr>
          <w:sz w:val="24"/>
        </w:rPr>
        <w:t>Corporate governance， corporate governance structure， accounting information， accounting information quality</w:t>
      </w:r>
    </w:p>
    <w:p>
      <w:pPr>
        <w:spacing w:line="300" w:lineRule="auto"/>
        <w:rPr>
          <w:rFonts w:ascii="宋体" w:hAnsi="宋体"/>
          <w:sz w:val="24"/>
          <w:szCs w:val="20"/>
        </w:rPr>
      </w:pPr>
    </w:p>
    <w:p>
      <w:pPr>
        <w:pStyle w:val="31"/>
        <w:keepNext w:val="0"/>
        <w:keepLines w:val="0"/>
        <w:pageBreakBefore w:val="0"/>
        <w:widowControl w:val="0"/>
        <w:kinsoku/>
        <w:wordWrap/>
        <w:overflowPunct/>
        <w:topLinePunct w:val="0"/>
        <w:autoSpaceDE/>
        <w:autoSpaceDN/>
        <w:bidi w:val="0"/>
        <w:adjustRightInd/>
        <w:snapToGrid/>
        <w:spacing w:before="313" w:beforeLines="100" w:after="313" w:afterLines="100"/>
        <w:ind w:firstLine="720"/>
        <w:jc w:val="center"/>
        <w:textAlignment w:val="auto"/>
        <w:rPr>
          <w:rFonts w:hint="eastAsia" w:ascii="黑体" w:hAnsi="黑体" w:eastAsia="黑体" w:cs="黑体"/>
          <w:b/>
          <w:bCs/>
          <w:sz w:val="32"/>
          <w:szCs w:val="32"/>
        </w:rPr>
      </w:pPr>
      <w:bookmarkStart w:id="4" w:name="_Toc83491321"/>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MERGEFIELD "题目"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«题目»</w:t>
      </w:r>
      <w:r>
        <w:rPr>
          <w:rFonts w:hint="eastAsia" w:ascii="黑体" w:hAnsi="黑体" w:eastAsia="黑体" w:cs="黑体"/>
          <w:b/>
          <w:bCs/>
          <w:sz w:val="32"/>
          <w:szCs w:val="32"/>
        </w:rPr>
        <w:fldChar w:fldCharType="end"/>
      </w:r>
    </w:p>
    <w:p>
      <w:pPr>
        <w:pStyle w:val="31"/>
        <w:jc w:val="center"/>
      </w:pPr>
      <w:r>
        <w:rPr>
          <w:rFonts w:hint="eastAsia"/>
        </w:rPr>
        <w:t>（</w:t>
      </w:r>
      <w:r>
        <w:rPr>
          <w:rFonts w:hint="eastAsia"/>
        </w:rPr>
        <w:fldChar w:fldCharType="begin"/>
      </w:r>
      <w:r>
        <w:rPr>
          <w:rFonts w:hint="eastAsia"/>
        </w:rPr>
        <w:instrText xml:space="preserve"> MERGEFIELD "专业" </w:instrText>
      </w:r>
      <w:r>
        <w:rPr>
          <w:rFonts w:hint="eastAsia"/>
        </w:rPr>
        <w:fldChar w:fldCharType="separate"/>
      </w:r>
      <w:r>
        <w:rPr>
          <w:rFonts w:hint="eastAsia"/>
        </w:rPr>
        <w:t>«专业»</w:t>
      </w:r>
      <w:r>
        <w:rPr>
          <w:rFonts w:hint="eastAsia"/>
        </w:rPr>
        <w:fldChar w:fldCharType="end"/>
      </w:r>
      <w:r>
        <w:rPr>
          <w:rFonts w:hint="eastAsia"/>
        </w:rPr>
        <w:t>，</w:t>
      </w:r>
      <w:r>
        <w:rPr>
          <w:rFonts w:hint="eastAsia"/>
        </w:rPr>
        <w:fldChar w:fldCharType="begin"/>
      </w:r>
      <w:r>
        <w:rPr>
          <w:rFonts w:hint="eastAsia"/>
        </w:rPr>
        <w:instrText xml:space="preserve"> MERGEFIELD "学号" </w:instrText>
      </w:r>
      <w:r>
        <w:rPr>
          <w:rFonts w:hint="eastAsia"/>
        </w:rPr>
        <w:fldChar w:fldCharType="separate"/>
      </w:r>
      <w:r>
        <w:rPr>
          <w:rFonts w:hint="eastAsia"/>
        </w:rPr>
        <w:t>«学号»</w:t>
      </w:r>
      <w:r>
        <w:rPr>
          <w:rFonts w:hint="eastAsia"/>
        </w:rPr>
        <w:fldChar w:fldCharType="end"/>
      </w:r>
      <w:r>
        <w:rPr>
          <w:rFonts w:hint="eastAsia"/>
        </w:rPr>
        <w:t>，</w:t>
      </w:r>
      <w:r>
        <w:rPr>
          <w:rFonts w:hint="eastAsia"/>
        </w:rPr>
        <w:fldChar w:fldCharType="begin"/>
      </w:r>
      <w:r>
        <w:rPr>
          <w:rFonts w:hint="eastAsia"/>
        </w:rPr>
        <w:instrText xml:space="preserve"> MERGEFIELD "姓名" </w:instrText>
      </w:r>
      <w:r>
        <w:rPr>
          <w:rFonts w:hint="eastAsia"/>
        </w:rPr>
        <w:fldChar w:fldCharType="separate"/>
      </w:r>
      <w:r>
        <w:rPr>
          <w:rFonts w:hint="eastAsia"/>
        </w:rPr>
        <w:t>«姓名»</w:t>
      </w:r>
      <w:r>
        <w:rPr>
          <w:rFonts w:hint="eastAsia"/>
        </w:rPr>
        <w:fldChar w:fldCharType="end"/>
      </w:r>
      <w:r>
        <w:rPr>
          <w:rFonts w:hint="eastAsia"/>
        </w:rPr>
        <w:t>）</w:t>
      </w:r>
    </w:p>
    <w:p>
      <w:pPr>
        <w:pStyle w:val="31"/>
        <w:jc w:val="center"/>
      </w:pPr>
      <w:r>
        <w:rPr>
          <w:rFonts w:hint="eastAsia"/>
        </w:rPr>
        <w:t>指导教师：（</w:t>
      </w:r>
      <w:r>
        <w:rPr>
          <w:rFonts w:hint="eastAsia"/>
        </w:rPr>
        <w:fldChar w:fldCharType="begin"/>
      </w:r>
      <w:r>
        <w:rPr>
          <w:rFonts w:hint="eastAsia"/>
        </w:rPr>
        <w:instrText xml:space="preserve"> MERGEFIELD "导师职称" </w:instrText>
      </w:r>
      <w:r>
        <w:rPr>
          <w:rFonts w:hint="eastAsia"/>
        </w:rPr>
        <w:fldChar w:fldCharType="separate"/>
      </w:r>
      <w:r>
        <w:rPr>
          <w:rFonts w:hint="eastAsia"/>
        </w:rPr>
        <w:t>«导师职称»</w:t>
      </w:r>
      <w:r>
        <w:rPr>
          <w:rFonts w:hint="eastAsia"/>
        </w:rPr>
        <w:fldChar w:fldCharType="end"/>
      </w:r>
      <w:r>
        <w:rPr>
          <w:rFonts w:hint="eastAsia"/>
        </w:rPr>
        <w:t>）</w:t>
      </w:r>
    </w:p>
    <w:bookmarkEnd w:id="4"/>
    <w:p>
      <w:pPr>
        <w:pStyle w:val="36"/>
        <w:bidi w:val="0"/>
      </w:pPr>
      <w:bookmarkStart w:id="5" w:name="_Toc5320"/>
      <w:bookmarkStart w:id="6" w:name="_Toc84245514"/>
      <w:r>
        <w:rPr>
          <w:rFonts w:hint="eastAsia"/>
          <w:lang w:val="en-US" w:eastAsia="zh-CN"/>
        </w:rPr>
        <w:t>1</w:t>
      </w:r>
      <w:r>
        <w:rPr>
          <w:rFonts w:hint="eastAsia"/>
        </w:rPr>
        <w:t>绪论</w:t>
      </w:r>
      <w:bookmarkEnd w:id="5"/>
      <w:bookmarkEnd w:id="6"/>
    </w:p>
    <w:p>
      <w:pPr>
        <w:pStyle w:val="37"/>
        <w:bidi w:val="0"/>
      </w:pPr>
      <w:bookmarkStart w:id="7" w:name="_Toc27523"/>
      <w:bookmarkStart w:id="8" w:name="_Toc84245515"/>
      <w:r>
        <w:rPr>
          <w:rFonts w:hint="eastAsia"/>
        </w:rPr>
        <w:t>1.1研究的背景及意义</w:t>
      </w:r>
      <w:bookmarkEnd w:id="7"/>
      <w:bookmarkEnd w:id="8"/>
    </w:p>
    <w:p>
      <w:pPr>
        <w:spacing w:line="400" w:lineRule="exact"/>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随着国有经济的呈现周期性的增长</w:t>
      </w:r>
      <w:r>
        <w:rPr>
          <w:rFonts w:hint="eastAsia" w:ascii="宋体" w:hAnsi="宋体"/>
          <w:color w:val="000000" w:themeColor="text1"/>
          <w:szCs w:val="21"/>
          <w:lang w:val="zh-CN"/>
          <w14:textFill>
            <w14:solidFill>
              <w14:schemeClr w14:val="tx1"/>
            </w14:solidFill>
          </w14:textFill>
        </w:rPr>
        <w:t>，我国的上市公司发展也非常迅猛，拉动了国内经济的快速发展，为经济快速提供了可持续性发展的源动力。截至2020年底，目前</w:t>
      </w:r>
      <w:r>
        <w:rPr>
          <w:rFonts w:hint="eastAsia" w:ascii="宋体" w:hAnsi="宋体"/>
          <w:color w:val="000000" w:themeColor="text1"/>
          <w:szCs w:val="21"/>
          <w14:textFill>
            <w14:solidFill>
              <w14:schemeClr w14:val="tx1"/>
            </w14:solidFill>
          </w14:textFill>
        </w:rPr>
        <w:t>国内有4000多家的上市公司</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其中包括房地产、保险、高新技术等领域的企业，能够让多个上市公司的资金得到有效的补充，让这些企业可以深化改革自己的创新层面</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对国内经济的提升提供了很大的动力</w:t>
      </w:r>
      <w:r>
        <w:rPr>
          <w:rFonts w:hint="eastAsia" w:ascii="宋体" w:hAnsi="宋体"/>
          <w:color w:val="000000" w:themeColor="text1"/>
          <w:szCs w:val="21"/>
          <w:lang w:val="zh-CN"/>
          <w14:textFill>
            <w14:solidFill>
              <w14:schemeClr w14:val="tx1"/>
            </w14:solidFill>
          </w14:textFill>
        </w:rPr>
        <w:t>。正是因为上市公司对经济的发展有重要的作用，所以近年来上市公司受到的关注越来越大。但是，目前国内的证券市场不断出现会计信息造假的案例，为了达到利润最大化，这些人虚构财务报表，虚构各种税费和利润收入，投资者在这样的虚构财务报表面前，很容易掉入陷阱，甚至可能给这些财务假象搞到一败涂地。</w:t>
      </w:r>
    </w:p>
    <w:p>
      <w:pPr>
        <w:pStyle w:val="37"/>
        <w:bidi w:val="0"/>
      </w:pPr>
      <w:bookmarkStart w:id="9" w:name="_Toc84245516"/>
      <w:bookmarkStart w:id="10" w:name="_Toc26752"/>
      <w:r>
        <w:rPr>
          <w:rFonts w:hint="eastAsia"/>
        </w:rPr>
        <w:t>1.2文献综述</w:t>
      </w:r>
      <w:bookmarkEnd w:id="9"/>
      <w:bookmarkEnd w:id="10"/>
    </w:p>
    <w:p>
      <w:pPr>
        <w:spacing w:line="400" w:lineRule="exact"/>
        <w:ind w:firstLine="420" w:firstLineChars="200"/>
        <w:rPr>
          <w:rFonts w:hint="eastAsia" w:ascii="宋体" w:hAnsi="宋体" w:eastAsia="宋体"/>
          <w:color w:val="000000" w:themeColor="text1"/>
          <w:szCs w:val="21"/>
          <w:lang w:val="en-US" w:eastAsia="zh-CN"/>
          <w14:textFill>
            <w14:solidFill>
              <w14:schemeClr w14:val="tx1"/>
            </w14:solidFill>
          </w14:textFill>
        </w:rPr>
      </w:pPr>
      <w:bookmarkStart w:id="11" w:name="_Toc29160"/>
      <w:r>
        <w:rPr>
          <w:rFonts w:hint="eastAsia" w:ascii="宋体" w:hAnsi="宋体"/>
          <w:color w:val="000000" w:themeColor="text1"/>
          <w:szCs w:val="21"/>
          <w14:textFill>
            <w14:solidFill>
              <w14:schemeClr w14:val="tx1"/>
            </w14:solidFill>
          </w14:textFill>
        </w:rPr>
        <w:t>分析目前证券市场的上市公司出现的会计信息造假情况，找出相关的原因，然后给予一定的建议</w:t>
      </w:r>
      <w:r>
        <w:rPr>
          <w:rFonts w:hint="eastAsia" w:ascii="宋体" w:hAnsi="宋体"/>
          <w:color w:val="000000" w:themeColor="text1"/>
          <w:szCs w:val="21"/>
          <w:lang w:val="en-US" w:eastAsia="zh-CN"/>
          <w14:textFill>
            <w14:solidFill>
              <w14:schemeClr w14:val="tx1"/>
            </w14:solidFill>
          </w14:textFill>
        </w:rPr>
        <w:t>。</w:t>
      </w:r>
    </w:p>
    <w:bookmarkEnd w:id="11"/>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然后给予一定的建议。</w:t>
      </w:r>
    </w:p>
    <w:p>
      <w:pPr>
        <w:pStyle w:val="36"/>
        <w:bidi w:val="0"/>
      </w:pPr>
      <w:bookmarkStart w:id="12" w:name="_Toc2242"/>
      <w:bookmarkStart w:id="13" w:name="_Toc84245517"/>
      <w:r>
        <w:rPr>
          <w:rFonts w:hint="eastAsia"/>
        </w:rPr>
        <w:t>2重要概念综述</w:t>
      </w:r>
      <w:bookmarkEnd w:id="12"/>
      <w:bookmarkEnd w:id="13"/>
    </w:p>
    <w:p>
      <w:pPr>
        <w:pStyle w:val="37"/>
        <w:bidi w:val="0"/>
      </w:pPr>
      <w:bookmarkStart w:id="14" w:name="_Toc84245518"/>
      <w:bookmarkStart w:id="15" w:name="_Toc20078"/>
      <w:r>
        <w:rPr>
          <w:rFonts w:hint="eastAsia"/>
        </w:rPr>
        <w:t>2.1公司治理结构</w:t>
      </w:r>
      <w:bookmarkEnd w:id="14"/>
      <w:bookmarkEnd w:id="15"/>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7"/>
        <w:bidi w:val="0"/>
      </w:pPr>
      <w:bookmarkStart w:id="16" w:name="_Toc84245519"/>
      <w:bookmarkStart w:id="17" w:name="_Toc13422"/>
      <w:r>
        <w:rPr>
          <w:rFonts w:hint="eastAsia"/>
        </w:rPr>
        <w:t>2.2会计信息质量</w:t>
      </w:r>
      <w:bookmarkEnd w:id="16"/>
      <w:bookmarkEnd w:id="17"/>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7"/>
        <w:bidi w:val="0"/>
      </w:pPr>
      <w:bookmarkStart w:id="18" w:name="_Toc7252"/>
      <w:bookmarkStart w:id="19" w:name="_Toc84245520"/>
      <w:r>
        <w:rPr>
          <w:rFonts w:hint="eastAsia"/>
        </w:rPr>
        <w:t>2.3公司治理与会计信息质量两者之间的相互关系</w:t>
      </w:r>
      <w:bookmarkEnd w:id="18"/>
      <w:bookmarkEnd w:id="19"/>
    </w:p>
    <w:p>
      <w:pPr>
        <w:pStyle w:val="38"/>
        <w:bidi w:val="0"/>
      </w:pPr>
      <w:bookmarkStart w:id="20" w:name="_Toc6685"/>
      <w:bookmarkStart w:id="21" w:name="_Toc84245521"/>
      <w:r>
        <w:rPr>
          <w:rFonts w:hint="eastAsia"/>
        </w:rPr>
        <w:t>2.3.1有效的公司治理是会计信息质量的保障</w:t>
      </w:r>
      <w:bookmarkEnd w:id="20"/>
      <w:bookmarkEnd w:id="21"/>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8"/>
        <w:bidi w:val="0"/>
      </w:pPr>
      <w:bookmarkStart w:id="22" w:name="_Toc14018"/>
      <w:bookmarkStart w:id="23" w:name="_Toc84245522"/>
      <w:r>
        <w:rPr>
          <w:rFonts w:hint="eastAsia"/>
        </w:rPr>
        <w:t>2.3.2高质量的会计信息</w:t>
      </w:r>
      <w:bookmarkEnd w:id="22"/>
      <w:r>
        <w:rPr>
          <w:rFonts w:hint="eastAsia"/>
        </w:rPr>
        <w:t>能够帮助公司进行治理</w:t>
      </w:r>
      <w:bookmarkEnd w:id="23"/>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6"/>
        <w:bidi w:val="0"/>
      </w:pPr>
      <w:bookmarkStart w:id="24" w:name="_Toc15236"/>
      <w:bookmarkStart w:id="25" w:name="_Toc84245523"/>
      <w:r>
        <w:rPr>
          <w:rFonts w:hint="eastAsia"/>
        </w:rPr>
        <w:t>3公司治理结构的问题及其对会计信息质量的影响</w:t>
      </w:r>
      <w:bookmarkEnd w:id="24"/>
      <w:bookmarkEnd w:id="25"/>
    </w:p>
    <w:p>
      <w:pPr>
        <w:pStyle w:val="37"/>
        <w:bidi w:val="0"/>
      </w:pPr>
      <w:bookmarkStart w:id="26" w:name="_Toc84245524"/>
      <w:bookmarkStart w:id="27" w:name="_Toc1817"/>
      <w:r>
        <w:rPr>
          <w:rFonts w:hint="eastAsia"/>
        </w:rPr>
        <w:t>3.1股权结构不合理</w:t>
      </w:r>
      <w:bookmarkEnd w:id="26"/>
      <w:bookmarkEnd w:id="27"/>
    </w:p>
    <w:p>
      <w:pPr>
        <w:spacing w:line="400" w:lineRule="exact"/>
        <w:ind w:firstLine="420" w:firstLineChars="200"/>
        <w:rPr>
          <w:rFonts w:ascii="宋体" w:hAnsi="宋体"/>
          <w:color w:val="0000FF"/>
          <w:szCs w:val="21"/>
        </w:rPr>
      </w:pPr>
      <w:r>
        <w:rPr>
          <w:rFonts w:hint="eastAsia" w:ascii="宋体" w:hAnsi="宋体"/>
          <w:szCs w:val="21"/>
        </w:rPr>
        <w:t>。</w:t>
      </w:r>
    </w:p>
    <w:p>
      <w:pPr>
        <w:pStyle w:val="37"/>
        <w:bidi w:val="0"/>
      </w:pPr>
      <w:bookmarkStart w:id="28" w:name="_Toc6396"/>
      <w:bookmarkStart w:id="29" w:name="_Toc84245525"/>
      <w:r>
        <w:rPr>
          <w:rFonts w:hint="eastAsia"/>
        </w:rPr>
        <w:t>3.2董事会功能弱化</w:t>
      </w:r>
      <w:bookmarkEnd w:id="28"/>
      <w:bookmarkEnd w:id="29"/>
    </w:p>
    <w:p>
      <w:pPr>
        <w:spacing w:line="400" w:lineRule="exact"/>
        <w:ind w:firstLine="420" w:firstLineChars="200"/>
        <w:rPr>
          <w:rFonts w:ascii="宋体" w:hAnsi="宋体"/>
          <w:szCs w:val="21"/>
        </w:rPr>
      </w:pPr>
      <w:r>
        <w:rPr>
          <w:rFonts w:hint="eastAsia" w:ascii="宋体" w:hAnsi="宋体"/>
          <w:szCs w:val="21"/>
        </w:rPr>
        <w:t>。</w:t>
      </w:r>
    </w:p>
    <w:p>
      <w:pPr>
        <w:pStyle w:val="37"/>
        <w:bidi w:val="0"/>
      </w:pPr>
      <w:bookmarkStart w:id="30" w:name="_Toc84245526"/>
      <w:bookmarkStart w:id="31" w:name="_Toc16099"/>
      <w:r>
        <w:rPr>
          <w:rFonts w:hint="eastAsia"/>
        </w:rPr>
        <w:t>3.3监事会的独立性丧失</w:t>
      </w:r>
      <w:bookmarkEnd w:id="30"/>
      <w:bookmarkEnd w:id="31"/>
    </w:p>
    <w:p>
      <w:pPr>
        <w:spacing w:line="400" w:lineRule="exact"/>
        <w:ind w:firstLine="420" w:firstLineChars="200"/>
        <w:rPr>
          <w:rFonts w:ascii="宋体" w:hAnsi="宋体"/>
          <w:szCs w:val="21"/>
        </w:rPr>
      </w:pPr>
      <w:r>
        <w:rPr>
          <w:rFonts w:hint="eastAsia" w:ascii="宋体" w:hAnsi="宋体"/>
          <w:szCs w:val="21"/>
        </w:rPr>
        <w:t>。</w:t>
      </w:r>
    </w:p>
    <w:p>
      <w:pPr>
        <w:pStyle w:val="37"/>
        <w:bidi w:val="0"/>
      </w:pPr>
      <w:bookmarkStart w:id="32" w:name="_Toc20011"/>
      <w:bookmarkStart w:id="33" w:name="_Toc84245527"/>
      <w:r>
        <w:rPr>
          <w:rFonts w:hint="eastAsia"/>
        </w:rPr>
        <w:t>3.4过分</w:t>
      </w:r>
      <w:bookmarkEnd w:id="32"/>
      <w:r>
        <w:rPr>
          <w:rFonts w:hint="eastAsia"/>
        </w:rPr>
        <w:t>着重股东利益忽视利益相关者的利益</w:t>
      </w:r>
      <w:bookmarkEnd w:id="33"/>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6"/>
        <w:bidi w:val="0"/>
      </w:pPr>
      <w:bookmarkStart w:id="34" w:name="_Toc8781"/>
      <w:bookmarkStart w:id="35" w:name="_Toc84245528"/>
      <w:r>
        <w:rPr>
          <w:rFonts w:hint="eastAsia"/>
        </w:rPr>
        <w:t>4改善公司治理结构提高上市公司会计信息质量的</w:t>
      </w:r>
      <w:bookmarkEnd w:id="34"/>
      <w:r>
        <w:rPr>
          <w:rFonts w:hint="eastAsia"/>
        </w:rPr>
        <w:t>策略</w:t>
      </w:r>
      <w:bookmarkEnd w:id="35"/>
    </w:p>
    <w:p>
      <w:pPr>
        <w:spacing w:line="400" w:lineRule="exact"/>
        <w:ind w:firstLine="420" w:firstLineChars="200"/>
        <w:rPr>
          <w:rFonts w:ascii="宋体" w:hAnsi="宋体"/>
          <w:color w:val="0000FF"/>
          <w:szCs w:val="21"/>
        </w:rPr>
      </w:pPr>
      <w:r>
        <w:rPr>
          <w:rFonts w:hint="eastAsia" w:ascii="宋体" w:hAnsi="宋体"/>
          <w:color w:val="000000" w:themeColor="text1"/>
          <w:szCs w:val="21"/>
          <w14:textFill>
            <w14:solidFill>
              <w14:schemeClr w14:val="tx1"/>
            </w14:solidFill>
          </w14:textFill>
        </w:rPr>
        <w:t>：</w:t>
      </w:r>
    </w:p>
    <w:p>
      <w:pPr>
        <w:pStyle w:val="37"/>
        <w:bidi w:val="0"/>
      </w:pPr>
      <w:bookmarkStart w:id="36" w:name="_Toc20776"/>
      <w:bookmarkStart w:id="37" w:name="_Toc84245529"/>
      <w:r>
        <w:rPr>
          <w:rFonts w:hint="eastAsia"/>
        </w:rPr>
        <w:t>4.1进一步优化股权结构</w:t>
      </w:r>
      <w:bookmarkEnd w:id="36"/>
      <w:bookmarkEnd w:id="37"/>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pStyle w:val="37"/>
        <w:bidi w:val="0"/>
      </w:pPr>
      <w:bookmarkStart w:id="38" w:name="_Toc84245530"/>
      <w:bookmarkStart w:id="39" w:name="_Toc28485"/>
      <w:r>
        <w:rPr>
          <w:rFonts w:hint="eastAsia"/>
        </w:rPr>
        <w:t>4.2健全董事会，完善董事会的职能</w:t>
      </w:r>
      <w:bookmarkEnd w:id="38"/>
      <w:bookmarkEnd w:id="39"/>
    </w:p>
    <w:p>
      <w:pPr>
        <w:spacing w:line="400" w:lineRule="exact"/>
        <w:ind w:firstLine="420" w:firstLineChars="200"/>
        <w:rPr>
          <w:rFonts w:ascii="宋体" w:hAnsi="宋体"/>
          <w:szCs w:val="21"/>
        </w:rPr>
      </w:pPr>
      <w:r>
        <w:rPr>
          <w:rFonts w:hint="eastAsia" w:ascii="宋体" w:hAnsi="宋体"/>
          <w:szCs w:val="21"/>
        </w:rPr>
        <w:t>。</w:t>
      </w:r>
    </w:p>
    <w:p>
      <w:pPr>
        <w:pStyle w:val="37"/>
        <w:bidi w:val="0"/>
      </w:pPr>
      <w:bookmarkStart w:id="40" w:name="_Toc20368"/>
      <w:bookmarkStart w:id="41" w:name="_Toc84245531"/>
      <w:r>
        <w:rPr>
          <w:rFonts w:hint="eastAsia"/>
        </w:rPr>
        <w:t>4.3强化监事会的职能</w:t>
      </w:r>
      <w:bookmarkEnd w:id="40"/>
      <w:bookmarkEnd w:id="41"/>
    </w:p>
    <w:p>
      <w:pPr>
        <w:spacing w:line="400" w:lineRule="exact"/>
        <w:ind w:firstLine="420" w:firstLineChars="200"/>
        <w:rPr>
          <w:rFonts w:ascii="宋体" w:hAnsi="宋体"/>
          <w:szCs w:val="21"/>
        </w:rPr>
      </w:pPr>
      <w:r>
        <w:rPr>
          <w:rFonts w:hint="eastAsia" w:ascii="宋体" w:hAnsi="宋体"/>
          <w:szCs w:val="21"/>
        </w:rPr>
        <w:t>。</w:t>
      </w:r>
    </w:p>
    <w:p>
      <w:pPr>
        <w:pStyle w:val="37"/>
        <w:bidi w:val="0"/>
      </w:pPr>
      <w:bookmarkStart w:id="42" w:name="_Toc84245532"/>
      <w:bookmarkStart w:id="43" w:name="_Toc3766"/>
      <w:r>
        <w:rPr>
          <w:rFonts w:hint="eastAsia"/>
        </w:rPr>
        <w:t>4.4经理等利益相关者参与管理模式</w:t>
      </w:r>
      <w:bookmarkEnd w:id="42"/>
      <w:bookmarkEnd w:id="43"/>
    </w:p>
    <w:p>
      <w:pPr>
        <w:spacing w:line="400" w:lineRule="exact"/>
        <w:ind w:firstLine="420" w:firstLineChars="200"/>
        <w:rPr>
          <w:rFonts w:ascii="宋体" w:hAnsi="宋体"/>
          <w:szCs w:val="21"/>
        </w:rPr>
      </w:pPr>
      <w:r>
        <w:rPr>
          <w:rFonts w:hint="eastAsia" w:ascii="宋体" w:hAnsi="宋体"/>
          <w:szCs w:val="21"/>
        </w:rPr>
        <w:t>。</w:t>
      </w:r>
    </w:p>
    <w:p>
      <w:pPr>
        <w:pStyle w:val="36"/>
        <w:bidi w:val="0"/>
      </w:pPr>
      <w:bookmarkStart w:id="44" w:name="_Toc84245533"/>
      <w:bookmarkStart w:id="45" w:name="_Toc16738"/>
      <w:r>
        <w:rPr>
          <w:rFonts w:hint="eastAsia"/>
        </w:rPr>
        <w:t>结束语</w:t>
      </w:r>
      <w:bookmarkEnd w:id="44"/>
      <w:bookmarkEnd w:id="45"/>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00" w:lineRule="auto"/>
        <w:rPr>
          <w:rFonts w:ascii="宋体" w:hAnsi="宋体"/>
          <w:sz w:val="24"/>
        </w:rPr>
        <w:sectPr>
          <w:headerReference r:id="rId9" w:type="default"/>
          <w:footerReference r:id="rId10" w:type="default"/>
          <w:pgSz w:w="11907" w:h="16840"/>
          <w:pgMar w:top="1418" w:right="1134" w:bottom="1418" w:left="1418" w:header="964" w:footer="964" w:gutter="284"/>
          <w:pgNumType w:start="1"/>
          <w:cols w:space="425" w:num="1"/>
          <w:docGrid w:type="lines" w:linePitch="312" w:charSpace="0"/>
        </w:sectPr>
      </w:pPr>
    </w:p>
    <w:p>
      <w:pPr>
        <w:spacing w:line="300" w:lineRule="auto"/>
        <w:rPr>
          <w:rFonts w:ascii="宋体" w:hAnsi="宋体"/>
          <w:sz w:val="24"/>
        </w:rPr>
      </w:pPr>
    </w:p>
    <w:p>
      <w:pPr>
        <w:pStyle w:val="2"/>
        <w:numPr>
          <w:ilvl w:val="0"/>
          <w:numId w:val="0"/>
        </w:numPr>
        <w:tabs>
          <w:tab w:val="clear" w:pos="567"/>
        </w:tabs>
        <w:spacing w:before="0" w:beforeLines="0" w:after="0" w:afterLines="0" w:line="300" w:lineRule="auto"/>
        <w:rPr>
          <w:rFonts w:hint="eastAsia"/>
          <w:sz w:val="30"/>
          <w:szCs w:val="30"/>
        </w:rPr>
      </w:pPr>
      <w:bookmarkStart w:id="46" w:name="_Toc135064059"/>
      <w:r>
        <w:rPr>
          <w:rFonts w:hint="eastAsia"/>
          <w:sz w:val="30"/>
          <w:szCs w:val="30"/>
        </w:rPr>
        <w:t>鸣  谢</w:t>
      </w:r>
      <w:bookmarkEnd w:id="46"/>
    </w:p>
    <w:p>
      <w:pPr>
        <w:spacing w:line="300" w:lineRule="auto"/>
        <w:rPr>
          <w:rFonts w:ascii="宋体" w:hAnsi="宋体"/>
          <w:sz w:val="24"/>
        </w:rPr>
      </w:pPr>
    </w:p>
    <w:p>
      <w:pPr>
        <w:pStyle w:val="31"/>
        <w:sectPr>
          <w:headerReference r:id="rId11" w:type="default"/>
          <w:pgSz w:w="11907" w:h="16840"/>
          <w:pgMar w:top="1418" w:right="1134" w:bottom="1418" w:left="1418" w:header="964" w:footer="964" w:gutter="284"/>
          <w:cols w:space="425" w:num="1"/>
          <w:docGrid w:type="lines" w:linePitch="312" w:charSpace="0"/>
        </w:sectPr>
      </w:pPr>
      <w:r>
        <w:rPr>
          <w:rFonts w:hint="eastAsia"/>
        </w:rPr>
        <w:t>。</w:t>
      </w:r>
    </w:p>
    <w:p>
      <w:pPr>
        <w:spacing w:line="300" w:lineRule="auto"/>
        <w:rPr>
          <w:rFonts w:ascii="宋体" w:hAnsi="宋体"/>
          <w:sz w:val="24"/>
        </w:rPr>
      </w:pPr>
    </w:p>
    <w:p>
      <w:pPr>
        <w:pStyle w:val="34"/>
      </w:pPr>
      <w:bookmarkStart w:id="47" w:name="_Toc84245535"/>
      <w:r>
        <w:rPr>
          <w:rFonts w:hint="eastAsia"/>
        </w:rPr>
        <w:t>参考文献</w:t>
      </w:r>
      <w:bookmarkEnd w:id="47"/>
    </w:p>
    <w:p>
      <w:pPr>
        <w:widowControl/>
        <w:jc w:val="left"/>
        <w:rPr>
          <w:rFonts w:eastAsia="黑体"/>
          <w:caps/>
          <w:kern w:val="44"/>
          <w:sz w:val="30"/>
          <w:szCs w:val="30"/>
        </w:rPr>
      </w:pP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[1]王家瑞.从公司治理结构角度对会计信息披露质量的研究[J].佳木斯职业学院学报，2021，37(03):42-43.</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[2]杨涛涛，沈燕萍.上市公司董事会特征对会计信息披露质量的影响研究[J].科技经济市场，2021(02):39-40+42.</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[3]王岚，张赫.上市公司治理结构与会计信息质量研究[J].今日财富，2021(03):138-139.</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[4]张飒.上市公司内部治理结构与会计信息质量研究[J].辽宁经济，2020(11):78-79.</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[5]文琼尧.我国上市公司财务舞弊识别及防范对策研究[J].现代商业，2020(26):148-150.</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[6]吴丽霞.上市公司治理与会计信息质量相关性的实证研究[J].纳税，2020，14(15):116+118.</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[7]崔雪妍.上市公司会计信息披露质量与公司治理结构研究[J].中外企业家，2020(16):31-32.</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[8]胡婧.上市公司治理结构与会计信息质量研究[J].纳税，2020，14(06):131.</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sz w:val="18"/>
          <w:szCs w:val="18"/>
        </w:rPr>
      </w:pPr>
      <w:r>
        <w:rPr>
          <w:rFonts w:hint="eastAsia"/>
          <w:sz w:val="18"/>
          <w:szCs w:val="18"/>
        </w:rPr>
        <w:t>[9]赵瑞.上市公司会计信息质量面临的挑战与思考[J].农村经济与科技，2019，30(20):140-141.</w:t>
      </w:r>
    </w:p>
    <w:p>
      <w:pPr>
        <w:pStyle w:val="31"/>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sz w:val="18"/>
          <w:szCs w:val="18"/>
        </w:rPr>
      </w:pPr>
      <w:r>
        <w:rPr>
          <w:rFonts w:hint="eastAsia"/>
          <w:sz w:val="18"/>
          <w:szCs w:val="18"/>
        </w:rPr>
        <w:t>[10]王玉娟.会计信息质量与公司治理结构问题及对策[J].财经界，2019(25):146-147</w:t>
      </w:r>
    </w:p>
    <w:sectPr>
      <w:headerReference r:id="rId12" w:type="default"/>
      <w:pgSz w:w="11907" w:h="16840"/>
      <w:pgMar w:top="1418" w:right="1134" w:bottom="1418" w:left="1418" w:header="964" w:footer="964"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行楷">
    <w:altName w:val="微软雅黑"/>
    <w:panose1 w:val="00000000000000000000"/>
    <w:charset w:val="86"/>
    <w:family w:val="auto"/>
    <w:pitch w:val="default"/>
    <w:sig w:usb0="00000000" w:usb1="00000000" w:usb2="00000010" w:usb3="00000000" w:csb0="00040000" w:csb1="00000000"/>
  </w:font>
  <w:font w:name="方正姚体简体">
    <w:altName w:val="微软雅黑"/>
    <w:panose1 w:val="00000000000000000000"/>
    <w:charset w:val="86"/>
    <w:family w:val="script"/>
    <w:pitch w:val="default"/>
    <w:sig w:usb0="00000000" w:usb1="00000000" w:usb2="00000010" w:usb3="00000000" w:csb0="00040000" w:csb1="00000000"/>
  </w:font>
  <w:font w:name="方正姚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rStyle w:val="24"/>
        <w:sz w:val="21"/>
        <w:szCs w:val="21"/>
      </w:rPr>
      <w:fldChar w:fldCharType="begin"/>
    </w:r>
    <w:r>
      <w:rPr>
        <w:rStyle w:val="24"/>
        <w:sz w:val="21"/>
        <w:szCs w:val="21"/>
      </w:rPr>
      <w:instrText xml:space="preserve"> PAGE </w:instrText>
    </w:r>
    <w:r>
      <w:rPr>
        <w:rStyle w:val="24"/>
        <w:sz w:val="21"/>
        <w:szCs w:val="21"/>
      </w:rPr>
      <w:fldChar w:fldCharType="separate"/>
    </w:r>
    <w:r>
      <w:rPr>
        <w:rStyle w:val="24"/>
        <w:sz w:val="21"/>
        <w:szCs w:val="21"/>
      </w:rPr>
      <w:t>I</w:t>
    </w:r>
    <w:r>
      <w:rPr>
        <w:rStyle w:val="24"/>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val="en-US" w:eastAsia="zh-CN"/>
      </w:rPr>
    </w:pPr>
    <w:r>
      <w:rPr>
        <w:rStyle w:val="24"/>
        <w:rFonts w:hint="eastAsia"/>
        <w:sz w:val="21"/>
        <w:szCs w:val="21"/>
      </w:rPr>
      <w:t xml:space="preserve">－ </w:t>
    </w:r>
    <w:r>
      <w:rPr>
        <w:rStyle w:val="24"/>
        <w:sz w:val="21"/>
        <w:szCs w:val="21"/>
      </w:rPr>
      <w:fldChar w:fldCharType="begin"/>
    </w:r>
    <w:r>
      <w:rPr>
        <w:rStyle w:val="24"/>
        <w:sz w:val="21"/>
        <w:szCs w:val="21"/>
      </w:rPr>
      <w:instrText xml:space="preserve"> PAGE </w:instrText>
    </w:r>
    <w:r>
      <w:rPr>
        <w:rStyle w:val="24"/>
        <w:sz w:val="21"/>
        <w:szCs w:val="21"/>
      </w:rPr>
      <w:fldChar w:fldCharType="separate"/>
    </w:r>
    <w:r>
      <w:rPr>
        <w:rStyle w:val="24"/>
        <w:sz w:val="21"/>
        <w:szCs w:val="21"/>
      </w:rPr>
      <w:t>5</w:t>
    </w:r>
    <w:r>
      <w:rPr>
        <w:rStyle w:val="24"/>
        <w:sz w:val="21"/>
        <w:szCs w:val="21"/>
      </w:rPr>
      <w:fldChar w:fldCharType="end"/>
    </w:r>
    <w:r>
      <w:rPr>
        <w:rStyle w:val="24"/>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268" w:leftChars="1080" w:firstLine="1331" w:firstLineChars="350"/>
      <w:jc w:val="left"/>
      <w:rPr>
        <w:rFonts w:ascii="微软雅黑" w:hAnsi="微软雅黑" w:eastAsia="微软雅黑"/>
        <w:b/>
        <w:spacing w:val="30"/>
        <w:sz w:val="32"/>
        <w:szCs w:val="32"/>
      </w:rPr>
    </w:pPr>
    <w:r>
      <w:rPr>
        <w:rFonts w:ascii="微软雅黑" w:hAnsi="微软雅黑" w:eastAsia="微软雅黑"/>
        <w:b/>
        <w:spacing w:val="30"/>
        <w:sz w:val="32"/>
        <w:szCs w:val="32"/>
      </w:rPr>
      <w:drawing>
        <wp:anchor distT="0" distB="0" distL="114300" distR="114300" simplePos="0" relativeHeight="251659264" behindDoc="0" locked="0" layoutInCell="1" allowOverlap="1">
          <wp:simplePos x="0" y="0"/>
          <wp:positionH relativeFrom="column">
            <wp:posOffset>-80645</wp:posOffset>
          </wp:positionH>
          <wp:positionV relativeFrom="paragraph">
            <wp:posOffset>-59690</wp:posOffset>
          </wp:positionV>
          <wp:extent cx="2028825" cy="466725"/>
          <wp:effectExtent l="0" t="0" r="0" b="0"/>
          <wp:wrapNone/>
          <wp:docPr id="1" name="对象 1"/>
          <wp:cNvGraphicFramePr/>
          <a:graphic xmlns:a="http://schemas.openxmlformats.org/drawingml/2006/main">
            <a:graphicData uri="http://schemas.openxmlformats.org/drawingml/2006/picture">
              <pic:pic xmlns:pic="http://schemas.openxmlformats.org/drawingml/2006/picture">
                <pic:nvPicPr>
                  <pic:cNvPr id="1" name="对象 1"/>
                  <pic:cNvPicPr>
                    <a:picLocks noChangeArrowheads="1"/>
                  </pic:cNvPicPr>
                </pic:nvPicPr>
                <pic:blipFill>
                  <a:blip r:embed="rId1">
                    <a:extLst>
                      <a:ext uri="{28A0092B-C50C-407E-A947-70E740481C1C}">
                        <a14:useLocalDpi xmlns:a14="http://schemas.microsoft.com/office/drawing/2010/main" val="0"/>
                      </a:ext>
                    </a:extLst>
                  </a:blip>
                  <a:srcRect l="-719" t="-4807" r="-7471" b="-14420"/>
                  <a:stretch>
                    <a:fillRect/>
                  </a:stretch>
                </pic:blipFill>
                <pic:spPr>
                  <a:xfrm>
                    <a:off x="0" y="0"/>
                    <a:ext cx="2028825" cy="466725"/>
                  </a:xfrm>
                  <a:prstGeom prst="rect">
                    <a:avLst/>
                  </a:prstGeom>
                  <a:noFill/>
                  <a:ln>
                    <a:noFill/>
                  </a:ln>
                </pic:spPr>
              </pic:pic>
            </a:graphicData>
          </a:graphic>
        </wp:anchor>
      </w:drawing>
    </w:r>
    <w:r>
      <w:rPr>
        <w:rFonts w:hint="eastAsia" w:ascii="微软雅黑" w:hAnsi="微软雅黑" w:eastAsia="微软雅黑"/>
        <w:b/>
        <w:spacing w:val="30"/>
        <w:sz w:val="32"/>
        <w:szCs w:val="32"/>
      </w:rPr>
      <w:t>成教202</w:t>
    </w:r>
    <w:r>
      <w:rPr>
        <w:rFonts w:hint="eastAsia" w:ascii="微软雅黑" w:hAnsi="微软雅黑" w:eastAsia="微软雅黑"/>
        <w:b/>
        <w:spacing w:val="30"/>
        <w:sz w:val="32"/>
        <w:szCs w:val="32"/>
        <w:lang w:val="en-US" w:eastAsia="zh-CN"/>
      </w:rPr>
      <w:t>3</w:t>
    </w:r>
    <w:r>
      <w:rPr>
        <w:rFonts w:hint="eastAsia" w:ascii="微软雅黑" w:hAnsi="微软雅黑" w:eastAsia="微软雅黑"/>
        <w:b/>
        <w:spacing w:val="30"/>
        <w:sz w:val="32"/>
        <w:szCs w:val="32"/>
      </w:rPr>
      <w:t>届本科生毕业论文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rFonts w:hint="eastAsia"/>
        <w:sz w:val="21"/>
        <w:szCs w:val="21"/>
      </w:rPr>
      <w:t>摘  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rFonts w:hint="eastAsia"/>
        <w:sz w:val="21"/>
        <w:szCs w:val="21"/>
      </w:rPr>
      <w:t>ABSTRACT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1"/>
        <w:szCs w:val="21"/>
      </w:rPr>
      <w:t>广东海洋大学成人高等教育202</w:t>
    </w:r>
    <w:r>
      <w:rPr>
        <w:rFonts w:hint="eastAsia"/>
        <w:sz w:val="21"/>
        <w:szCs w:val="21"/>
        <w:lang w:val="en-US" w:eastAsia="zh-CN"/>
      </w:rPr>
      <w:t>3</w:t>
    </w:r>
    <w:r>
      <w:rPr>
        <w:sz w:val="21"/>
        <w:szCs w:val="21"/>
      </w:rPr>
      <w:t>届本科生毕业论文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sz w:val="21"/>
        <w:szCs w:val="21"/>
      </w:rPr>
      <w:t>鸣  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sz w:val="21"/>
        <w:szCs w:val="21"/>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6254E"/>
    <w:multiLevelType w:val="multilevel"/>
    <w:tmpl w:val="72E6254E"/>
    <w:lvl w:ilvl="0" w:tentative="0">
      <w:start w:val="1"/>
      <w:numFmt w:val="decimal"/>
      <w:pStyle w:val="2"/>
      <w:lvlText w:val="%1"/>
      <w:lvlJc w:val="left"/>
      <w:pPr>
        <w:tabs>
          <w:tab w:val="left" w:pos="567"/>
        </w:tabs>
        <w:ind w:left="0" w:firstLine="0"/>
      </w:pPr>
      <w:rPr>
        <w:rFonts w:hint="eastAsia"/>
      </w:rPr>
    </w:lvl>
    <w:lvl w:ilvl="1" w:tentative="0">
      <w:start w:val="1"/>
      <w:numFmt w:val="decimal"/>
      <w:lvlRestart w:val="0"/>
      <w:pStyle w:val="3"/>
      <w:lvlText w:val="%1.%2"/>
      <w:lvlJc w:val="left"/>
      <w:pPr>
        <w:tabs>
          <w:tab w:val="left" w:pos="360"/>
        </w:tabs>
        <w:ind w:left="0" w:firstLine="0"/>
      </w:pPr>
      <w:rPr>
        <w:rFonts w:hint="default" w:ascii="Times New Roman" w:hAnsi="Times New Roman" w:eastAsia="宋体"/>
        <w:sz w:val="24"/>
      </w:rPr>
    </w:lvl>
    <w:lvl w:ilvl="2" w:tentative="0">
      <w:start w:val="1"/>
      <w:numFmt w:val="decimal"/>
      <w:pStyle w:val="4"/>
      <w:lvlText w:val="%1.%2.%3"/>
      <w:lvlJc w:val="left"/>
      <w:pPr>
        <w:tabs>
          <w:tab w:val="left" w:pos="1008"/>
        </w:tabs>
        <w:ind w:left="720" w:hanging="432"/>
      </w:pPr>
      <w:rPr>
        <w:rFonts w:hint="default" w:ascii="Times New Roman" w:hAnsi="Times New Roman" w:eastAsia="宋体"/>
        <w:sz w:val="24"/>
      </w:rPr>
    </w:lvl>
    <w:lvl w:ilvl="3" w:tentative="0">
      <w:start w:val="1"/>
      <w:numFmt w:val="decimal"/>
      <w:pStyle w:val="5"/>
      <w:lvlText w:val="%1.%2.%3.%4"/>
      <w:lvlJc w:val="left"/>
      <w:pPr>
        <w:tabs>
          <w:tab w:val="left" w:pos="1440"/>
        </w:tabs>
        <w:ind w:left="737" w:hanging="17"/>
      </w:pPr>
      <w:rPr>
        <w:rFonts w:hint="default" w:ascii="Times New Roman" w:hAnsi="Times New Roman" w:eastAsia="宋体"/>
        <w:sz w:val="24"/>
      </w:rPr>
    </w:lvl>
    <w:lvl w:ilvl="4" w:tentative="0">
      <w:start w:val="1"/>
      <w:numFmt w:val="decimal"/>
      <w:pStyle w:val="6"/>
      <w:lvlText w:val="%5)"/>
      <w:lvlJc w:val="left"/>
      <w:pPr>
        <w:tabs>
          <w:tab w:val="left" w:pos="1008"/>
        </w:tabs>
        <w:ind w:left="1008" w:hanging="432"/>
      </w:pPr>
      <w:rPr>
        <w:rFonts w:hint="eastAsia"/>
      </w:rPr>
    </w:lvl>
    <w:lvl w:ilvl="5" w:tentative="0">
      <w:start w:val="1"/>
      <w:numFmt w:val="lowerLetter"/>
      <w:pStyle w:val="7"/>
      <w:lvlText w:val="%6)"/>
      <w:lvlJc w:val="left"/>
      <w:pPr>
        <w:tabs>
          <w:tab w:val="left" w:pos="1152"/>
        </w:tabs>
        <w:ind w:left="1152" w:hanging="432"/>
      </w:pPr>
      <w:rPr>
        <w:rFonts w:hint="eastAsia"/>
      </w:rPr>
    </w:lvl>
    <w:lvl w:ilvl="6" w:tentative="0">
      <w:start w:val="1"/>
      <w:numFmt w:val="lowerRoman"/>
      <w:pStyle w:val="8"/>
      <w:lvlText w:val="%7)"/>
      <w:lvlJc w:val="right"/>
      <w:pPr>
        <w:tabs>
          <w:tab w:val="left" w:pos="1296"/>
        </w:tabs>
        <w:ind w:left="1296" w:hanging="288"/>
      </w:pPr>
      <w:rPr>
        <w:rFonts w:hint="eastAsia"/>
      </w:rPr>
    </w:lvl>
    <w:lvl w:ilvl="7" w:tentative="0">
      <w:start w:val="1"/>
      <w:numFmt w:val="lowerLetter"/>
      <w:pStyle w:val="9"/>
      <w:lvlText w:val="%8."/>
      <w:lvlJc w:val="left"/>
      <w:pPr>
        <w:tabs>
          <w:tab w:val="left" w:pos="1440"/>
        </w:tabs>
        <w:ind w:left="1440" w:hanging="432"/>
      </w:pPr>
      <w:rPr>
        <w:rFonts w:hint="eastAsia"/>
      </w:rPr>
    </w:lvl>
    <w:lvl w:ilvl="8" w:tentative="0">
      <w:start w:val="1"/>
      <w:numFmt w:val="lowerRoman"/>
      <w:pStyle w:val="10"/>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      Data Source=C:\Users\Administrator\Desktop\生成模板\aa.xlsx;      Extended Properties='Excel 12.0; IMEX=1'"/>
    <w:query w:val="SELECT * FROM `Sheet1$`"/>
    <w:dataSource r:id="rId1"/>
    <w:activeRecord w:val="1"/>
    <w:odso>
      <w:table w:val="SELECT * FROM `Sheet1$`"/>
      <w:src r:id="rId1"/>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fieldMapData>
        <w:column w:val="0"/>
      </w:fieldMapData>
    </w:odso>
  </w:mailMerg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D91F09"/>
    <w:rsid w:val="00000829"/>
    <w:rsid w:val="00001BA8"/>
    <w:rsid w:val="00003A0F"/>
    <w:rsid w:val="0000555D"/>
    <w:rsid w:val="00005639"/>
    <w:rsid w:val="0000656D"/>
    <w:rsid w:val="00006A51"/>
    <w:rsid w:val="00007BEA"/>
    <w:rsid w:val="000107E4"/>
    <w:rsid w:val="00010C0D"/>
    <w:rsid w:val="00011EA3"/>
    <w:rsid w:val="000134F8"/>
    <w:rsid w:val="00014F02"/>
    <w:rsid w:val="000161A7"/>
    <w:rsid w:val="000200E5"/>
    <w:rsid w:val="0002754F"/>
    <w:rsid w:val="000309AC"/>
    <w:rsid w:val="00034196"/>
    <w:rsid w:val="00035F85"/>
    <w:rsid w:val="000378A2"/>
    <w:rsid w:val="00041473"/>
    <w:rsid w:val="00041F0D"/>
    <w:rsid w:val="00042E3C"/>
    <w:rsid w:val="00042FE2"/>
    <w:rsid w:val="00043274"/>
    <w:rsid w:val="0005044D"/>
    <w:rsid w:val="00051070"/>
    <w:rsid w:val="000527FE"/>
    <w:rsid w:val="00052D49"/>
    <w:rsid w:val="0005421F"/>
    <w:rsid w:val="000550FA"/>
    <w:rsid w:val="000636FF"/>
    <w:rsid w:val="00070416"/>
    <w:rsid w:val="00070517"/>
    <w:rsid w:val="00071073"/>
    <w:rsid w:val="00071350"/>
    <w:rsid w:val="00071C7B"/>
    <w:rsid w:val="000720AE"/>
    <w:rsid w:val="000727BB"/>
    <w:rsid w:val="00074F16"/>
    <w:rsid w:val="00075866"/>
    <w:rsid w:val="00075D57"/>
    <w:rsid w:val="00076139"/>
    <w:rsid w:val="00076D08"/>
    <w:rsid w:val="000802A1"/>
    <w:rsid w:val="0008116A"/>
    <w:rsid w:val="00085987"/>
    <w:rsid w:val="00091676"/>
    <w:rsid w:val="000947DC"/>
    <w:rsid w:val="00094ED2"/>
    <w:rsid w:val="00095138"/>
    <w:rsid w:val="00095765"/>
    <w:rsid w:val="00095EE6"/>
    <w:rsid w:val="00096526"/>
    <w:rsid w:val="000A1C37"/>
    <w:rsid w:val="000A3A1E"/>
    <w:rsid w:val="000B036C"/>
    <w:rsid w:val="000B0B8D"/>
    <w:rsid w:val="000B23AB"/>
    <w:rsid w:val="000B2766"/>
    <w:rsid w:val="000B43C2"/>
    <w:rsid w:val="000B7BAE"/>
    <w:rsid w:val="000C2123"/>
    <w:rsid w:val="000C2315"/>
    <w:rsid w:val="000C2B9C"/>
    <w:rsid w:val="000C2C30"/>
    <w:rsid w:val="000C3371"/>
    <w:rsid w:val="000C4AD4"/>
    <w:rsid w:val="000C58B4"/>
    <w:rsid w:val="000D0ED4"/>
    <w:rsid w:val="000D3658"/>
    <w:rsid w:val="000D3FF1"/>
    <w:rsid w:val="000D5F47"/>
    <w:rsid w:val="000D7F25"/>
    <w:rsid w:val="000E1A93"/>
    <w:rsid w:val="000E4602"/>
    <w:rsid w:val="000E58C1"/>
    <w:rsid w:val="000E7B22"/>
    <w:rsid w:val="000F128D"/>
    <w:rsid w:val="000F135F"/>
    <w:rsid w:val="000F1B30"/>
    <w:rsid w:val="000F1E86"/>
    <w:rsid w:val="000F21FD"/>
    <w:rsid w:val="000F6AF4"/>
    <w:rsid w:val="00100688"/>
    <w:rsid w:val="00101934"/>
    <w:rsid w:val="0010315E"/>
    <w:rsid w:val="00104716"/>
    <w:rsid w:val="00104FC0"/>
    <w:rsid w:val="0010532B"/>
    <w:rsid w:val="00106221"/>
    <w:rsid w:val="0011118F"/>
    <w:rsid w:val="001119FC"/>
    <w:rsid w:val="0011221A"/>
    <w:rsid w:val="00113FA2"/>
    <w:rsid w:val="0011496B"/>
    <w:rsid w:val="00114999"/>
    <w:rsid w:val="00115397"/>
    <w:rsid w:val="00116B67"/>
    <w:rsid w:val="00120D1F"/>
    <w:rsid w:val="001223D2"/>
    <w:rsid w:val="00123EC4"/>
    <w:rsid w:val="00126D01"/>
    <w:rsid w:val="00126EA0"/>
    <w:rsid w:val="00132C33"/>
    <w:rsid w:val="00132D6E"/>
    <w:rsid w:val="0013663C"/>
    <w:rsid w:val="00140F5C"/>
    <w:rsid w:val="0014136B"/>
    <w:rsid w:val="0014142B"/>
    <w:rsid w:val="00142293"/>
    <w:rsid w:val="00144E7B"/>
    <w:rsid w:val="00150E66"/>
    <w:rsid w:val="0015423A"/>
    <w:rsid w:val="00160EDF"/>
    <w:rsid w:val="00164BE3"/>
    <w:rsid w:val="00166D40"/>
    <w:rsid w:val="00170EC3"/>
    <w:rsid w:val="00173159"/>
    <w:rsid w:val="00173302"/>
    <w:rsid w:val="001744FC"/>
    <w:rsid w:val="00174729"/>
    <w:rsid w:val="0017645A"/>
    <w:rsid w:val="0018200A"/>
    <w:rsid w:val="00182A07"/>
    <w:rsid w:val="00184555"/>
    <w:rsid w:val="00186C87"/>
    <w:rsid w:val="00192C64"/>
    <w:rsid w:val="00193A4D"/>
    <w:rsid w:val="00194049"/>
    <w:rsid w:val="00196433"/>
    <w:rsid w:val="001A0507"/>
    <w:rsid w:val="001A3B2E"/>
    <w:rsid w:val="001A54E0"/>
    <w:rsid w:val="001B63D7"/>
    <w:rsid w:val="001C5233"/>
    <w:rsid w:val="001D1BC7"/>
    <w:rsid w:val="001D6415"/>
    <w:rsid w:val="001D762F"/>
    <w:rsid w:val="001D787A"/>
    <w:rsid w:val="001E29C3"/>
    <w:rsid w:val="001E4571"/>
    <w:rsid w:val="001E5310"/>
    <w:rsid w:val="001F0CB1"/>
    <w:rsid w:val="001F2EB4"/>
    <w:rsid w:val="001F3CC7"/>
    <w:rsid w:val="001F4163"/>
    <w:rsid w:val="001F43DD"/>
    <w:rsid w:val="001F5B2F"/>
    <w:rsid w:val="001F684A"/>
    <w:rsid w:val="001F6E88"/>
    <w:rsid w:val="00200525"/>
    <w:rsid w:val="00200708"/>
    <w:rsid w:val="00200957"/>
    <w:rsid w:val="00202D3A"/>
    <w:rsid w:val="0020306B"/>
    <w:rsid w:val="002032B8"/>
    <w:rsid w:val="002038A7"/>
    <w:rsid w:val="00203FD2"/>
    <w:rsid w:val="002050B7"/>
    <w:rsid w:val="0020590D"/>
    <w:rsid w:val="00205A9C"/>
    <w:rsid w:val="002076F7"/>
    <w:rsid w:val="0021158B"/>
    <w:rsid w:val="00211BE1"/>
    <w:rsid w:val="00212F06"/>
    <w:rsid w:val="0021390F"/>
    <w:rsid w:val="0022331F"/>
    <w:rsid w:val="00223600"/>
    <w:rsid w:val="002258D9"/>
    <w:rsid w:val="00234021"/>
    <w:rsid w:val="00234695"/>
    <w:rsid w:val="00235734"/>
    <w:rsid w:val="002374E6"/>
    <w:rsid w:val="002458A3"/>
    <w:rsid w:val="002504C8"/>
    <w:rsid w:val="002518D3"/>
    <w:rsid w:val="0025220E"/>
    <w:rsid w:val="0025273C"/>
    <w:rsid w:val="002532A5"/>
    <w:rsid w:val="002532FC"/>
    <w:rsid w:val="0025584A"/>
    <w:rsid w:val="00255D26"/>
    <w:rsid w:val="00260158"/>
    <w:rsid w:val="00261BAC"/>
    <w:rsid w:val="00262685"/>
    <w:rsid w:val="002635BF"/>
    <w:rsid w:val="00265D6F"/>
    <w:rsid w:val="00265F3C"/>
    <w:rsid w:val="002675B1"/>
    <w:rsid w:val="00271E71"/>
    <w:rsid w:val="00272377"/>
    <w:rsid w:val="00273272"/>
    <w:rsid w:val="00273DFE"/>
    <w:rsid w:val="00274654"/>
    <w:rsid w:val="00276338"/>
    <w:rsid w:val="00277BDA"/>
    <w:rsid w:val="00283748"/>
    <w:rsid w:val="00283CF0"/>
    <w:rsid w:val="00285006"/>
    <w:rsid w:val="002877A6"/>
    <w:rsid w:val="00287BAC"/>
    <w:rsid w:val="00290335"/>
    <w:rsid w:val="0029045F"/>
    <w:rsid w:val="00290CA6"/>
    <w:rsid w:val="00292B1C"/>
    <w:rsid w:val="00292DF1"/>
    <w:rsid w:val="0029493D"/>
    <w:rsid w:val="002964A4"/>
    <w:rsid w:val="002A061F"/>
    <w:rsid w:val="002A0D4B"/>
    <w:rsid w:val="002A198B"/>
    <w:rsid w:val="002A3B26"/>
    <w:rsid w:val="002A4321"/>
    <w:rsid w:val="002B0A6D"/>
    <w:rsid w:val="002B0C2E"/>
    <w:rsid w:val="002B1A10"/>
    <w:rsid w:val="002B1F64"/>
    <w:rsid w:val="002B41A7"/>
    <w:rsid w:val="002B5FAE"/>
    <w:rsid w:val="002B635D"/>
    <w:rsid w:val="002B6FC3"/>
    <w:rsid w:val="002B707B"/>
    <w:rsid w:val="002B7456"/>
    <w:rsid w:val="002B7C02"/>
    <w:rsid w:val="002C0165"/>
    <w:rsid w:val="002C04D9"/>
    <w:rsid w:val="002C1588"/>
    <w:rsid w:val="002C23F7"/>
    <w:rsid w:val="002C41CB"/>
    <w:rsid w:val="002C50EF"/>
    <w:rsid w:val="002C7378"/>
    <w:rsid w:val="002D58EB"/>
    <w:rsid w:val="002D6A42"/>
    <w:rsid w:val="002D6B02"/>
    <w:rsid w:val="002E21D3"/>
    <w:rsid w:val="002E4392"/>
    <w:rsid w:val="002E45D8"/>
    <w:rsid w:val="002F05CD"/>
    <w:rsid w:val="002F1464"/>
    <w:rsid w:val="002F4D9A"/>
    <w:rsid w:val="002F588D"/>
    <w:rsid w:val="002F7A8F"/>
    <w:rsid w:val="002F7E3F"/>
    <w:rsid w:val="00300EC2"/>
    <w:rsid w:val="0030170B"/>
    <w:rsid w:val="003025E6"/>
    <w:rsid w:val="00305C47"/>
    <w:rsid w:val="00311B9B"/>
    <w:rsid w:val="0031378C"/>
    <w:rsid w:val="003143AC"/>
    <w:rsid w:val="00314496"/>
    <w:rsid w:val="003153C0"/>
    <w:rsid w:val="00315D40"/>
    <w:rsid w:val="00316A29"/>
    <w:rsid w:val="00324F2B"/>
    <w:rsid w:val="0032585A"/>
    <w:rsid w:val="003267F2"/>
    <w:rsid w:val="00326F7A"/>
    <w:rsid w:val="00327B96"/>
    <w:rsid w:val="003323E9"/>
    <w:rsid w:val="00333A7E"/>
    <w:rsid w:val="00335796"/>
    <w:rsid w:val="003407FC"/>
    <w:rsid w:val="00342D0E"/>
    <w:rsid w:val="00344BA0"/>
    <w:rsid w:val="00346C44"/>
    <w:rsid w:val="003508F6"/>
    <w:rsid w:val="00351CCE"/>
    <w:rsid w:val="00352C17"/>
    <w:rsid w:val="00365381"/>
    <w:rsid w:val="003662EB"/>
    <w:rsid w:val="00366770"/>
    <w:rsid w:val="00367B16"/>
    <w:rsid w:val="00374C4F"/>
    <w:rsid w:val="00377778"/>
    <w:rsid w:val="00377B31"/>
    <w:rsid w:val="0038090F"/>
    <w:rsid w:val="00381124"/>
    <w:rsid w:val="00381B61"/>
    <w:rsid w:val="00382F7A"/>
    <w:rsid w:val="003849B2"/>
    <w:rsid w:val="0038587A"/>
    <w:rsid w:val="00385AE7"/>
    <w:rsid w:val="00386507"/>
    <w:rsid w:val="0039135B"/>
    <w:rsid w:val="00394A33"/>
    <w:rsid w:val="00394EF9"/>
    <w:rsid w:val="0039591B"/>
    <w:rsid w:val="00395E79"/>
    <w:rsid w:val="003A0501"/>
    <w:rsid w:val="003A3B3D"/>
    <w:rsid w:val="003A4A9E"/>
    <w:rsid w:val="003B0C4E"/>
    <w:rsid w:val="003B2AF1"/>
    <w:rsid w:val="003B5F1A"/>
    <w:rsid w:val="003C3D3E"/>
    <w:rsid w:val="003C504E"/>
    <w:rsid w:val="003D28FA"/>
    <w:rsid w:val="003D424E"/>
    <w:rsid w:val="003D43BC"/>
    <w:rsid w:val="003D49BA"/>
    <w:rsid w:val="003D73A7"/>
    <w:rsid w:val="003F10D6"/>
    <w:rsid w:val="003F1727"/>
    <w:rsid w:val="003F2485"/>
    <w:rsid w:val="003F26A7"/>
    <w:rsid w:val="003F5850"/>
    <w:rsid w:val="003F71FC"/>
    <w:rsid w:val="00400A05"/>
    <w:rsid w:val="00401A18"/>
    <w:rsid w:val="00402F7A"/>
    <w:rsid w:val="00403592"/>
    <w:rsid w:val="00405127"/>
    <w:rsid w:val="004053F4"/>
    <w:rsid w:val="00410E4E"/>
    <w:rsid w:val="004114DA"/>
    <w:rsid w:val="00413977"/>
    <w:rsid w:val="00413995"/>
    <w:rsid w:val="004147B9"/>
    <w:rsid w:val="004149C8"/>
    <w:rsid w:val="00414DD7"/>
    <w:rsid w:val="00416115"/>
    <w:rsid w:val="004207FE"/>
    <w:rsid w:val="00436220"/>
    <w:rsid w:val="00445A6F"/>
    <w:rsid w:val="00446F61"/>
    <w:rsid w:val="00451E47"/>
    <w:rsid w:val="00454777"/>
    <w:rsid w:val="004618E9"/>
    <w:rsid w:val="00461CFF"/>
    <w:rsid w:val="0046216E"/>
    <w:rsid w:val="004630C5"/>
    <w:rsid w:val="004735C1"/>
    <w:rsid w:val="00475D9C"/>
    <w:rsid w:val="0047640C"/>
    <w:rsid w:val="00484344"/>
    <w:rsid w:val="004859A4"/>
    <w:rsid w:val="00491992"/>
    <w:rsid w:val="0049688A"/>
    <w:rsid w:val="004A011A"/>
    <w:rsid w:val="004A1F00"/>
    <w:rsid w:val="004A2B9B"/>
    <w:rsid w:val="004A3FF2"/>
    <w:rsid w:val="004A4356"/>
    <w:rsid w:val="004A4E37"/>
    <w:rsid w:val="004A5F58"/>
    <w:rsid w:val="004A76B3"/>
    <w:rsid w:val="004B33B3"/>
    <w:rsid w:val="004B58FB"/>
    <w:rsid w:val="004C06A5"/>
    <w:rsid w:val="004C06F0"/>
    <w:rsid w:val="004C0B30"/>
    <w:rsid w:val="004C10EA"/>
    <w:rsid w:val="004C1246"/>
    <w:rsid w:val="004C3154"/>
    <w:rsid w:val="004C44C8"/>
    <w:rsid w:val="004C512C"/>
    <w:rsid w:val="004C6DA6"/>
    <w:rsid w:val="004D2E79"/>
    <w:rsid w:val="004D721A"/>
    <w:rsid w:val="004E16EE"/>
    <w:rsid w:val="004E2267"/>
    <w:rsid w:val="004E4CF9"/>
    <w:rsid w:val="004E50AA"/>
    <w:rsid w:val="004E5362"/>
    <w:rsid w:val="004F0E04"/>
    <w:rsid w:val="004F2FE1"/>
    <w:rsid w:val="004F362A"/>
    <w:rsid w:val="004F43FB"/>
    <w:rsid w:val="004F48C7"/>
    <w:rsid w:val="004F4B1C"/>
    <w:rsid w:val="004F4F46"/>
    <w:rsid w:val="004F5C5A"/>
    <w:rsid w:val="004F60D1"/>
    <w:rsid w:val="004F6125"/>
    <w:rsid w:val="004F77BA"/>
    <w:rsid w:val="0050165D"/>
    <w:rsid w:val="005019AC"/>
    <w:rsid w:val="0050279F"/>
    <w:rsid w:val="00507F41"/>
    <w:rsid w:val="0051165A"/>
    <w:rsid w:val="00511871"/>
    <w:rsid w:val="00512147"/>
    <w:rsid w:val="00516413"/>
    <w:rsid w:val="0051656A"/>
    <w:rsid w:val="00520104"/>
    <w:rsid w:val="00521EC8"/>
    <w:rsid w:val="00522A90"/>
    <w:rsid w:val="005234D2"/>
    <w:rsid w:val="005242EB"/>
    <w:rsid w:val="0052532C"/>
    <w:rsid w:val="005268C8"/>
    <w:rsid w:val="0053128A"/>
    <w:rsid w:val="005340B7"/>
    <w:rsid w:val="005344CD"/>
    <w:rsid w:val="00535C52"/>
    <w:rsid w:val="0054338D"/>
    <w:rsid w:val="00545FE8"/>
    <w:rsid w:val="00551B6D"/>
    <w:rsid w:val="005527AF"/>
    <w:rsid w:val="00552B06"/>
    <w:rsid w:val="0055364F"/>
    <w:rsid w:val="00553889"/>
    <w:rsid w:val="0055463A"/>
    <w:rsid w:val="00557640"/>
    <w:rsid w:val="00557A4A"/>
    <w:rsid w:val="00566B78"/>
    <w:rsid w:val="005746F2"/>
    <w:rsid w:val="00575819"/>
    <w:rsid w:val="005769D1"/>
    <w:rsid w:val="00576E3E"/>
    <w:rsid w:val="00580667"/>
    <w:rsid w:val="00583898"/>
    <w:rsid w:val="00592DDE"/>
    <w:rsid w:val="00592F91"/>
    <w:rsid w:val="00595EA3"/>
    <w:rsid w:val="005969DC"/>
    <w:rsid w:val="00597734"/>
    <w:rsid w:val="005A013A"/>
    <w:rsid w:val="005B11A1"/>
    <w:rsid w:val="005B130F"/>
    <w:rsid w:val="005B6287"/>
    <w:rsid w:val="005C0A0E"/>
    <w:rsid w:val="005C27CB"/>
    <w:rsid w:val="005C3FC7"/>
    <w:rsid w:val="005C5EF5"/>
    <w:rsid w:val="005D0B7D"/>
    <w:rsid w:val="005E0DD5"/>
    <w:rsid w:val="005E4AD0"/>
    <w:rsid w:val="005F07A0"/>
    <w:rsid w:val="005F1B5B"/>
    <w:rsid w:val="005F5001"/>
    <w:rsid w:val="005F5B15"/>
    <w:rsid w:val="00605E0E"/>
    <w:rsid w:val="006101B8"/>
    <w:rsid w:val="00612D51"/>
    <w:rsid w:val="00614633"/>
    <w:rsid w:val="006166F7"/>
    <w:rsid w:val="0061765B"/>
    <w:rsid w:val="006207F7"/>
    <w:rsid w:val="00620E35"/>
    <w:rsid w:val="0062388B"/>
    <w:rsid w:val="006246B7"/>
    <w:rsid w:val="006254B9"/>
    <w:rsid w:val="006260C0"/>
    <w:rsid w:val="00631330"/>
    <w:rsid w:val="00631DD4"/>
    <w:rsid w:val="006327C9"/>
    <w:rsid w:val="006333FE"/>
    <w:rsid w:val="00634BB0"/>
    <w:rsid w:val="00634CBE"/>
    <w:rsid w:val="0064029A"/>
    <w:rsid w:val="00640329"/>
    <w:rsid w:val="00640B5D"/>
    <w:rsid w:val="00642799"/>
    <w:rsid w:val="00645D34"/>
    <w:rsid w:val="00647A25"/>
    <w:rsid w:val="006509E3"/>
    <w:rsid w:val="00651BBA"/>
    <w:rsid w:val="00653199"/>
    <w:rsid w:val="00654C4C"/>
    <w:rsid w:val="00655583"/>
    <w:rsid w:val="0065795C"/>
    <w:rsid w:val="0066179F"/>
    <w:rsid w:val="00661DD7"/>
    <w:rsid w:val="006624E6"/>
    <w:rsid w:val="00664C30"/>
    <w:rsid w:val="006667B5"/>
    <w:rsid w:val="0066735B"/>
    <w:rsid w:val="0067114F"/>
    <w:rsid w:val="00680EF5"/>
    <w:rsid w:val="0068130E"/>
    <w:rsid w:val="00681B84"/>
    <w:rsid w:val="00682216"/>
    <w:rsid w:val="006873AC"/>
    <w:rsid w:val="0068762C"/>
    <w:rsid w:val="006924C5"/>
    <w:rsid w:val="00693CA0"/>
    <w:rsid w:val="0069508A"/>
    <w:rsid w:val="00695FAE"/>
    <w:rsid w:val="00696D65"/>
    <w:rsid w:val="006A0322"/>
    <w:rsid w:val="006A150A"/>
    <w:rsid w:val="006A197E"/>
    <w:rsid w:val="006A21D4"/>
    <w:rsid w:val="006A42DC"/>
    <w:rsid w:val="006A4D46"/>
    <w:rsid w:val="006A772B"/>
    <w:rsid w:val="006B2154"/>
    <w:rsid w:val="006B57C1"/>
    <w:rsid w:val="006B657B"/>
    <w:rsid w:val="006C1D20"/>
    <w:rsid w:val="006C2B73"/>
    <w:rsid w:val="006D1658"/>
    <w:rsid w:val="006D4A77"/>
    <w:rsid w:val="006D55BE"/>
    <w:rsid w:val="006D7923"/>
    <w:rsid w:val="006E2A1A"/>
    <w:rsid w:val="006E35F4"/>
    <w:rsid w:val="006E3CF7"/>
    <w:rsid w:val="006E5D34"/>
    <w:rsid w:val="006E6A72"/>
    <w:rsid w:val="006F2C0C"/>
    <w:rsid w:val="006F3BAA"/>
    <w:rsid w:val="006F40D3"/>
    <w:rsid w:val="006F41C7"/>
    <w:rsid w:val="006F718D"/>
    <w:rsid w:val="006F77CF"/>
    <w:rsid w:val="00703FCC"/>
    <w:rsid w:val="00704199"/>
    <w:rsid w:val="007045B3"/>
    <w:rsid w:val="007058CA"/>
    <w:rsid w:val="00706E48"/>
    <w:rsid w:val="00707ED1"/>
    <w:rsid w:val="007109A6"/>
    <w:rsid w:val="00711FB2"/>
    <w:rsid w:val="00712302"/>
    <w:rsid w:val="007131DC"/>
    <w:rsid w:val="00715ADD"/>
    <w:rsid w:val="00716351"/>
    <w:rsid w:val="0071689E"/>
    <w:rsid w:val="00720925"/>
    <w:rsid w:val="00723E76"/>
    <w:rsid w:val="00724837"/>
    <w:rsid w:val="0072493D"/>
    <w:rsid w:val="00724951"/>
    <w:rsid w:val="007249C7"/>
    <w:rsid w:val="0072527E"/>
    <w:rsid w:val="00730E2F"/>
    <w:rsid w:val="00734963"/>
    <w:rsid w:val="00736844"/>
    <w:rsid w:val="00740387"/>
    <w:rsid w:val="00741542"/>
    <w:rsid w:val="0074157F"/>
    <w:rsid w:val="007426EC"/>
    <w:rsid w:val="00743F94"/>
    <w:rsid w:val="007441D6"/>
    <w:rsid w:val="00744F6C"/>
    <w:rsid w:val="00746A27"/>
    <w:rsid w:val="00747DE9"/>
    <w:rsid w:val="00754FEC"/>
    <w:rsid w:val="00755C74"/>
    <w:rsid w:val="007561F2"/>
    <w:rsid w:val="00760294"/>
    <w:rsid w:val="00760F0D"/>
    <w:rsid w:val="00763A9C"/>
    <w:rsid w:val="00764102"/>
    <w:rsid w:val="007659B6"/>
    <w:rsid w:val="007659CA"/>
    <w:rsid w:val="00770B6E"/>
    <w:rsid w:val="0077268F"/>
    <w:rsid w:val="00774078"/>
    <w:rsid w:val="00774E8F"/>
    <w:rsid w:val="00777031"/>
    <w:rsid w:val="00777669"/>
    <w:rsid w:val="00781631"/>
    <w:rsid w:val="00793700"/>
    <w:rsid w:val="00794624"/>
    <w:rsid w:val="00796053"/>
    <w:rsid w:val="007A3F08"/>
    <w:rsid w:val="007B1264"/>
    <w:rsid w:val="007B1463"/>
    <w:rsid w:val="007B14F1"/>
    <w:rsid w:val="007B2609"/>
    <w:rsid w:val="007B364B"/>
    <w:rsid w:val="007B3FE0"/>
    <w:rsid w:val="007B6CF5"/>
    <w:rsid w:val="007C66CD"/>
    <w:rsid w:val="007C6D11"/>
    <w:rsid w:val="007C765E"/>
    <w:rsid w:val="007D0D6A"/>
    <w:rsid w:val="007D11CD"/>
    <w:rsid w:val="007D280D"/>
    <w:rsid w:val="007D5E07"/>
    <w:rsid w:val="007E2101"/>
    <w:rsid w:val="007E2A25"/>
    <w:rsid w:val="007F0CE9"/>
    <w:rsid w:val="007F0F8B"/>
    <w:rsid w:val="007F23B1"/>
    <w:rsid w:val="007F3EDB"/>
    <w:rsid w:val="008004B5"/>
    <w:rsid w:val="00800710"/>
    <w:rsid w:val="008024D1"/>
    <w:rsid w:val="00802C07"/>
    <w:rsid w:val="00806CFC"/>
    <w:rsid w:val="00807E51"/>
    <w:rsid w:val="00813F23"/>
    <w:rsid w:val="00815EFF"/>
    <w:rsid w:val="0081716E"/>
    <w:rsid w:val="00820547"/>
    <w:rsid w:val="00821B71"/>
    <w:rsid w:val="008253B4"/>
    <w:rsid w:val="008267F3"/>
    <w:rsid w:val="00826D18"/>
    <w:rsid w:val="008275C3"/>
    <w:rsid w:val="00831B8B"/>
    <w:rsid w:val="00833772"/>
    <w:rsid w:val="00834F84"/>
    <w:rsid w:val="00835534"/>
    <w:rsid w:val="00835959"/>
    <w:rsid w:val="00843670"/>
    <w:rsid w:val="0084555D"/>
    <w:rsid w:val="00851D21"/>
    <w:rsid w:val="00860052"/>
    <w:rsid w:val="00863193"/>
    <w:rsid w:val="008634C4"/>
    <w:rsid w:val="00865C7C"/>
    <w:rsid w:val="00872096"/>
    <w:rsid w:val="00872182"/>
    <w:rsid w:val="008735EB"/>
    <w:rsid w:val="008755E0"/>
    <w:rsid w:val="00875C19"/>
    <w:rsid w:val="00875D02"/>
    <w:rsid w:val="0087626A"/>
    <w:rsid w:val="00876B9F"/>
    <w:rsid w:val="00877320"/>
    <w:rsid w:val="00877618"/>
    <w:rsid w:val="00880104"/>
    <w:rsid w:val="00881082"/>
    <w:rsid w:val="008818CA"/>
    <w:rsid w:val="008866B9"/>
    <w:rsid w:val="008871C1"/>
    <w:rsid w:val="008877F3"/>
    <w:rsid w:val="00890EAE"/>
    <w:rsid w:val="00891ADF"/>
    <w:rsid w:val="0089206E"/>
    <w:rsid w:val="00894C13"/>
    <w:rsid w:val="00895D82"/>
    <w:rsid w:val="00896872"/>
    <w:rsid w:val="008A2076"/>
    <w:rsid w:val="008A222C"/>
    <w:rsid w:val="008A2C29"/>
    <w:rsid w:val="008A2FE7"/>
    <w:rsid w:val="008A6984"/>
    <w:rsid w:val="008B0599"/>
    <w:rsid w:val="008B3808"/>
    <w:rsid w:val="008B3BBE"/>
    <w:rsid w:val="008B4BE0"/>
    <w:rsid w:val="008B56E7"/>
    <w:rsid w:val="008B724B"/>
    <w:rsid w:val="008B782A"/>
    <w:rsid w:val="008C0614"/>
    <w:rsid w:val="008D0F50"/>
    <w:rsid w:val="008D2DDD"/>
    <w:rsid w:val="008D4D29"/>
    <w:rsid w:val="008D4E14"/>
    <w:rsid w:val="008D6AF3"/>
    <w:rsid w:val="008E4B54"/>
    <w:rsid w:val="008E667C"/>
    <w:rsid w:val="008E6680"/>
    <w:rsid w:val="008E7A48"/>
    <w:rsid w:val="008F0639"/>
    <w:rsid w:val="008F22A3"/>
    <w:rsid w:val="008F2C9E"/>
    <w:rsid w:val="008F2FB0"/>
    <w:rsid w:val="008F68F2"/>
    <w:rsid w:val="0090386E"/>
    <w:rsid w:val="00903C43"/>
    <w:rsid w:val="00904B5F"/>
    <w:rsid w:val="009075AD"/>
    <w:rsid w:val="00911D9B"/>
    <w:rsid w:val="00915474"/>
    <w:rsid w:val="00917A66"/>
    <w:rsid w:val="0092034C"/>
    <w:rsid w:val="00920584"/>
    <w:rsid w:val="009205EC"/>
    <w:rsid w:val="00921B9C"/>
    <w:rsid w:val="00922268"/>
    <w:rsid w:val="00922AE2"/>
    <w:rsid w:val="00923E7A"/>
    <w:rsid w:val="00926DEB"/>
    <w:rsid w:val="00930C7A"/>
    <w:rsid w:val="00932B43"/>
    <w:rsid w:val="00934375"/>
    <w:rsid w:val="0093545D"/>
    <w:rsid w:val="009363DF"/>
    <w:rsid w:val="00937982"/>
    <w:rsid w:val="00937AF0"/>
    <w:rsid w:val="009416FF"/>
    <w:rsid w:val="00942FA3"/>
    <w:rsid w:val="00942FFA"/>
    <w:rsid w:val="009432B9"/>
    <w:rsid w:val="00943E9E"/>
    <w:rsid w:val="00944B9A"/>
    <w:rsid w:val="0094529E"/>
    <w:rsid w:val="00945523"/>
    <w:rsid w:val="009508AE"/>
    <w:rsid w:val="009516F8"/>
    <w:rsid w:val="0095244A"/>
    <w:rsid w:val="0095450F"/>
    <w:rsid w:val="00954C2B"/>
    <w:rsid w:val="009617BC"/>
    <w:rsid w:val="009624FB"/>
    <w:rsid w:val="0096259E"/>
    <w:rsid w:val="0097051F"/>
    <w:rsid w:val="00971A3C"/>
    <w:rsid w:val="00972662"/>
    <w:rsid w:val="00973785"/>
    <w:rsid w:val="00973956"/>
    <w:rsid w:val="00974E17"/>
    <w:rsid w:val="00974FDD"/>
    <w:rsid w:val="009755FF"/>
    <w:rsid w:val="00976355"/>
    <w:rsid w:val="00976BA5"/>
    <w:rsid w:val="0097758E"/>
    <w:rsid w:val="0098085B"/>
    <w:rsid w:val="00982109"/>
    <w:rsid w:val="009848D0"/>
    <w:rsid w:val="00986057"/>
    <w:rsid w:val="00986601"/>
    <w:rsid w:val="00986EBF"/>
    <w:rsid w:val="009913C2"/>
    <w:rsid w:val="009929B7"/>
    <w:rsid w:val="00993293"/>
    <w:rsid w:val="00993319"/>
    <w:rsid w:val="00994C54"/>
    <w:rsid w:val="0099677B"/>
    <w:rsid w:val="009A07E6"/>
    <w:rsid w:val="009A2B2B"/>
    <w:rsid w:val="009A3F77"/>
    <w:rsid w:val="009A6F58"/>
    <w:rsid w:val="009A7145"/>
    <w:rsid w:val="009B0368"/>
    <w:rsid w:val="009B03F6"/>
    <w:rsid w:val="009B1D1B"/>
    <w:rsid w:val="009B1DC2"/>
    <w:rsid w:val="009B293A"/>
    <w:rsid w:val="009B3965"/>
    <w:rsid w:val="009B527D"/>
    <w:rsid w:val="009B7920"/>
    <w:rsid w:val="009C175F"/>
    <w:rsid w:val="009D07D9"/>
    <w:rsid w:val="009D09E8"/>
    <w:rsid w:val="009D32C8"/>
    <w:rsid w:val="009D6008"/>
    <w:rsid w:val="009D612F"/>
    <w:rsid w:val="009D68FF"/>
    <w:rsid w:val="009D7392"/>
    <w:rsid w:val="009D7757"/>
    <w:rsid w:val="009E20C5"/>
    <w:rsid w:val="009E5A98"/>
    <w:rsid w:val="009E7FE6"/>
    <w:rsid w:val="009F0164"/>
    <w:rsid w:val="009F32B0"/>
    <w:rsid w:val="009F3B87"/>
    <w:rsid w:val="009F568C"/>
    <w:rsid w:val="009F7A0A"/>
    <w:rsid w:val="009F7B31"/>
    <w:rsid w:val="00A0023B"/>
    <w:rsid w:val="00A01266"/>
    <w:rsid w:val="00A0517A"/>
    <w:rsid w:val="00A05406"/>
    <w:rsid w:val="00A05D99"/>
    <w:rsid w:val="00A11503"/>
    <w:rsid w:val="00A121D6"/>
    <w:rsid w:val="00A1263C"/>
    <w:rsid w:val="00A128B0"/>
    <w:rsid w:val="00A17696"/>
    <w:rsid w:val="00A208F4"/>
    <w:rsid w:val="00A21E92"/>
    <w:rsid w:val="00A27C9D"/>
    <w:rsid w:val="00A27F6A"/>
    <w:rsid w:val="00A30A6A"/>
    <w:rsid w:val="00A327F4"/>
    <w:rsid w:val="00A329AF"/>
    <w:rsid w:val="00A33D80"/>
    <w:rsid w:val="00A348E0"/>
    <w:rsid w:val="00A348E3"/>
    <w:rsid w:val="00A360B2"/>
    <w:rsid w:val="00A372EB"/>
    <w:rsid w:val="00A417A9"/>
    <w:rsid w:val="00A45A62"/>
    <w:rsid w:val="00A520CB"/>
    <w:rsid w:val="00A53A36"/>
    <w:rsid w:val="00A5415A"/>
    <w:rsid w:val="00A55BE4"/>
    <w:rsid w:val="00A600B4"/>
    <w:rsid w:val="00A61B1E"/>
    <w:rsid w:val="00A633C9"/>
    <w:rsid w:val="00A64415"/>
    <w:rsid w:val="00A652D8"/>
    <w:rsid w:val="00A66FD1"/>
    <w:rsid w:val="00A670FC"/>
    <w:rsid w:val="00A716E5"/>
    <w:rsid w:val="00A74373"/>
    <w:rsid w:val="00A778D9"/>
    <w:rsid w:val="00A800F9"/>
    <w:rsid w:val="00A83746"/>
    <w:rsid w:val="00A903E2"/>
    <w:rsid w:val="00A941B9"/>
    <w:rsid w:val="00A94FC4"/>
    <w:rsid w:val="00A95F40"/>
    <w:rsid w:val="00A96AEA"/>
    <w:rsid w:val="00A9746C"/>
    <w:rsid w:val="00A97684"/>
    <w:rsid w:val="00AA234F"/>
    <w:rsid w:val="00AA779B"/>
    <w:rsid w:val="00AB7E70"/>
    <w:rsid w:val="00AC176B"/>
    <w:rsid w:val="00AC17AA"/>
    <w:rsid w:val="00AC272F"/>
    <w:rsid w:val="00AC444A"/>
    <w:rsid w:val="00AC47F3"/>
    <w:rsid w:val="00AC5546"/>
    <w:rsid w:val="00AC74A1"/>
    <w:rsid w:val="00AC7FF4"/>
    <w:rsid w:val="00AD1061"/>
    <w:rsid w:val="00AD1081"/>
    <w:rsid w:val="00AD20E5"/>
    <w:rsid w:val="00AD4A0B"/>
    <w:rsid w:val="00AD6CEC"/>
    <w:rsid w:val="00AD77C8"/>
    <w:rsid w:val="00AE2731"/>
    <w:rsid w:val="00AE6D2D"/>
    <w:rsid w:val="00AF0547"/>
    <w:rsid w:val="00AF0661"/>
    <w:rsid w:val="00AF127F"/>
    <w:rsid w:val="00AF32D5"/>
    <w:rsid w:val="00AF4524"/>
    <w:rsid w:val="00AF4BFF"/>
    <w:rsid w:val="00AF6AD8"/>
    <w:rsid w:val="00B02F31"/>
    <w:rsid w:val="00B037E8"/>
    <w:rsid w:val="00B05654"/>
    <w:rsid w:val="00B069CE"/>
    <w:rsid w:val="00B06CF3"/>
    <w:rsid w:val="00B104B5"/>
    <w:rsid w:val="00B14827"/>
    <w:rsid w:val="00B21D68"/>
    <w:rsid w:val="00B23BB9"/>
    <w:rsid w:val="00B25C46"/>
    <w:rsid w:val="00B26762"/>
    <w:rsid w:val="00B27ADB"/>
    <w:rsid w:val="00B312FB"/>
    <w:rsid w:val="00B326FA"/>
    <w:rsid w:val="00B3576C"/>
    <w:rsid w:val="00B41579"/>
    <w:rsid w:val="00B415ED"/>
    <w:rsid w:val="00B419A6"/>
    <w:rsid w:val="00B446A8"/>
    <w:rsid w:val="00B46346"/>
    <w:rsid w:val="00B50054"/>
    <w:rsid w:val="00B50451"/>
    <w:rsid w:val="00B50E4A"/>
    <w:rsid w:val="00B510F2"/>
    <w:rsid w:val="00B51E89"/>
    <w:rsid w:val="00B5265B"/>
    <w:rsid w:val="00B53A93"/>
    <w:rsid w:val="00B54897"/>
    <w:rsid w:val="00B6114C"/>
    <w:rsid w:val="00B61D42"/>
    <w:rsid w:val="00B636AF"/>
    <w:rsid w:val="00B7012D"/>
    <w:rsid w:val="00B71F04"/>
    <w:rsid w:val="00B72268"/>
    <w:rsid w:val="00B76097"/>
    <w:rsid w:val="00B86F52"/>
    <w:rsid w:val="00B87EFE"/>
    <w:rsid w:val="00B914D8"/>
    <w:rsid w:val="00B91D61"/>
    <w:rsid w:val="00B94C55"/>
    <w:rsid w:val="00B94FD6"/>
    <w:rsid w:val="00BA0DF9"/>
    <w:rsid w:val="00BA1D7B"/>
    <w:rsid w:val="00BA2886"/>
    <w:rsid w:val="00BA3091"/>
    <w:rsid w:val="00BA6E95"/>
    <w:rsid w:val="00BB0679"/>
    <w:rsid w:val="00BB3D0E"/>
    <w:rsid w:val="00BB72D4"/>
    <w:rsid w:val="00BC17DF"/>
    <w:rsid w:val="00BC2E65"/>
    <w:rsid w:val="00BC73B2"/>
    <w:rsid w:val="00BC74AC"/>
    <w:rsid w:val="00BD3A5E"/>
    <w:rsid w:val="00BD435A"/>
    <w:rsid w:val="00BD5325"/>
    <w:rsid w:val="00BD72E1"/>
    <w:rsid w:val="00BD755E"/>
    <w:rsid w:val="00BE41CB"/>
    <w:rsid w:val="00BE4A86"/>
    <w:rsid w:val="00BE4ED4"/>
    <w:rsid w:val="00BF039B"/>
    <w:rsid w:val="00BF0A46"/>
    <w:rsid w:val="00BF14B7"/>
    <w:rsid w:val="00BF528E"/>
    <w:rsid w:val="00BF60B1"/>
    <w:rsid w:val="00BF7422"/>
    <w:rsid w:val="00C035F5"/>
    <w:rsid w:val="00C04CC7"/>
    <w:rsid w:val="00C11F9B"/>
    <w:rsid w:val="00C12326"/>
    <w:rsid w:val="00C146F7"/>
    <w:rsid w:val="00C152EC"/>
    <w:rsid w:val="00C154CD"/>
    <w:rsid w:val="00C22694"/>
    <w:rsid w:val="00C266EE"/>
    <w:rsid w:val="00C26D9B"/>
    <w:rsid w:val="00C27021"/>
    <w:rsid w:val="00C3077F"/>
    <w:rsid w:val="00C3107D"/>
    <w:rsid w:val="00C31492"/>
    <w:rsid w:val="00C32F65"/>
    <w:rsid w:val="00C3487B"/>
    <w:rsid w:val="00C3497A"/>
    <w:rsid w:val="00C350A9"/>
    <w:rsid w:val="00C35637"/>
    <w:rsid w:val="00C37C63"/>
    <w:rsid w:val="00C41CF5"/>
    <w:rsid w:val="00C42A08"/>
    <w:rsid w:val="00C42C5E"/>
    <w:rsid w:val="00C43851"/>
    <w:rsid w:val="00C455EB"/>
    <w:rsid w:val="00C47A1F"/>
    <w:rsid w:val="00C47A8A"/>
    <w:rsid w:val="00C51CE0"/>
    <w:rsid w:val="00C527B2"/>
    <w:rsid w:val="00C528D8"/>
    <w:rsid w:val="00C5493E"/>
    <w:rsid w:val="00C57DCB"/>
    <w:rsid w:val="00C61991"/>
    <w:rsid w:val="00C6364F"/>
    <w:rsid w:val="00C6739D"/>
    <w:rsid w:val="00C73A3B"/>
    <w:rsid w:val="00C7433A"/>
    <w:rsid w:val="00C77E48"/>
    <w:rsid w:val="00C80070"/>
    <w:rsid w:val="00C80483"/>
    <w:rsid w:val="00C81A54"/>
    <w:rsid w:val="00C81C79"/>
    <w:rsid w:val="00C8220F"/>
    <w:rsid w:val="00C87DF4"/>
    <w:rsid w:val="00C90F16"/>
    <w:rsid w:val="00C92F6F"/>
    <w:rsid w:val="00C93C30"/>
    <w:rsid w:val="00C9428F"/>
    <w:rsid w:val="00C9515A"/>
    <w:rsid w:val="00CA022E"/>
    <w:rsid w:val="00CB18C5"/>
    <w:rsid w:val="00CB24CD"/>
    <w:rsid w:val="00CB45B4"/>
    <w:rsid w:val="00CB55B2"/>
    <w:rsid w:val="00CB59F6"/>
    <w:rsid w:val="00CC057E"/>
    <w:rsid w:val="00CC0DDF"/>
    <w:rsid w:val="00CC138D"/>
    <w:rsid w:val="00CC382E"/>
    <w:rsid w:val="00CC6293"/>
    <w:rsid w:val="00CC6650"/>
    <w:rsid w:val="00CC6D56"/>
    <w:rsid w:val="00CC6EAE"/>
    <w:rsid w:val="00CD03E1"/>
    <w:rsid w:val="00CD13B2"/>
    <w:rsid w:val="00CD15FA"/>
    <w:rsid w:val="00CD68A0"/>
    <w:rsid w:val="00CE00DF"/>
    <w:rsid w:val="00CE3548"/>
    <w:rsid w:val="00CE4D65"/>
    <w:rsid w:val="00CF0A21"/>
    <w:rsid w:val="00D016BB"/>
    <w:rsid w:val="00D01EC6"/>
    <w:rsid w:val="00D01F08"/>
    <w:rsid w:val="00D02C12"/>
    <w:rsid w:val="00D037DE"/>
    <w:rsid w:val="00D03CB8"/>
    <w:rsid w:val="00D04687"/>
    <w:rsid w:val="00D05C25"/>
    <w:rsid w:val="00D064A9"/>
    <w:rsid w:val="00D066D9"/>
    <w:rsid w:val="00D119D5"/>
    <w:rsid w:val="00D11B30"/>
    <w:rsid w:val="00D14A10"/>
    <w:rsid w:val="00D17378"/>
    <w:rsid w:val="00D174D9"/>
    <w:rsid w:val="00D17A05"/>
    <w:rsid w:val="00D20B77"/>
    <w:rsid w:val="00D213BA"/>
    <w:rsid w:val="00D21E35"/>
    <w:rsid w:val="00D223EB"/>
    <w:rsid w:val="00D34A7B"/>
    <w:rsid w:val="00D45260"/>
    <w:rsid w:val="00D452B6"/>
    <w:rsid w:val="00D45458"/>
    <w:rsid w:val="00D46578"/>
    <w:rsid w:val="00D46F41"/>
    <w:rsid w:val="00D47E50"/>
    <w:rsid w:val="00D47F95"/>
    <w:rsid w:val="00D50A4F"/>
    <w:rsid w:val="00D50E60"/>
    <w:rsid w:val="00D5141F"/>
    <w:rsid w:val="00D52120"/>
    <w:rsid w:val="00D5396F"/>
    <w:rsid w:val="00D57ADF"/>
    <w:rsid w:val="00D60D02"/>
    <w:rsid w:val="00D6390D"/>
    <w:rsid w:val="00D64BF9"/>
    <w:rsid w:val="00D65216"/>
    <w:rsid w:val="00D72874"/>
    <w:rsid w:val="00D74ED8"/>
    <w:rsid w:val="00D766BF"/>
    <w:rsid w:val="00D80B43"/>
    <w:rsid w:val="00D80DD9"/>
    <w:rsid w:val="00D8186F"/>
    <w:rsid w:val="00D818DD"/>
    <w:rsid w:val="00D8231E"/>
    <w:rsid w:val="00D83D3F"/>
    <w:rsid w:val="00D8529E"/>
    <w:rsid w:val="00D861FF"/>
    <w:rsid w:val="00D86DDA"/>
    <w:rsid w:val="00D91F09"/>
    <w:rsid w:val="00D96683"/>
    <w:rsid w:val="00D9714D"/>
    <w:rsid w:val="00D9792B"/>
    <w:rsid w:val="00DA25D6"/>
    <w:rsid w:val="00DA38E1"/>
    <w:rsid w:val="00DA6F65"/>
    <w:rsid w:val="00DB092F"/>
    <w:rsid w:val="00DB1AD6"/>
    <w:rsid w:val="00DB22BF"/>
    <w:rsid w:val="00DB449D"/>
    <w:rsid w:val="00DB64DE"/>
    <w:rsid w:val="00DC2AAA"/>
    <w:rsid w:val="00DD000E"/>
    <w:rsid w:val="00DD605E"/>
    <w:rsid w:val="00DD72B6"/>
    <w:rsid w:val="00DD7383"/>
    <w:rsid w:val="00DD798B"/>
    <w:rsid w:val="00DE01D3"/>
    <w:rsid w:val="00DE07BB"/>
    <w:rsid w:val="00DE3A2B"/>
    <w:rsid w:val="00DE6976"/>
    <w:rsid w:val="00DF1A8B"/>
    <w:rsid w:val="00DF46F3"/>
    <w:rsid w:val="00DF7FA7"/>
    <w:rsid w:val="00E00B90"/>
    <w:rsid w:val="00E01D64"/>
    <w:rsid w:val="00E04F35"/>
    <w:rsid w:val="00E05849"/>
    <w:rsid w:val="00E06D96"/>
    <w:rsid w:val="00E07571"/>
    <w:rsid w:val="00E1030B"/>
    <w:rsid w:val="00E10567"/>
    <w:rsid w:val="00E12301"/>
    <w:rsid w:val="00E124E4"/>
    <w:rsid w:val="00E129E5"/>
    <w:rsid w:val="00E155EF"/>
    <w:rsid w:val="00E1655B"/>
    <w:rsid w:val="00E166A6"/>
    <w:rsid w:val="00E16AD4"/>
    <w:rsid w:val="00E1776E"/>
    <w:rsid w:val="00E219D6"/>
    <w:rsid w:val="00E22253"/>
    <w:rsid w:val="00E26368"/>
    <w:rsid w:val="00E26E5C"/>
    <w:rsid w:val="00E27854"/>
    <w:rsid w:val="00E326B1"/>
    <w:rsid w:val="00E3303C"/>
    <w:rsid w:val="00E34D66"/>
    <w:rsid w:val="00E35770"/>
    <w:rsid w:val="00E36DA3"/>
    <w:rsid w:val="00E379F3"/>
    <w:rsid w:val="00E4036B"/>
    <w:rsid w:val="00E41F0C"/>
    <w:rsid w:val="00E42AE2"/>
    <w:rsid w:val="00E43E11"/>
    <w:rsid w:val="00E44DCB"/>
    <w:rsid w:val="00E46678"/>
    <w:rsid w:val="00E46A67"/>
    <w:rsid w:val="00E47481"/>
    <w:rsid w:val="00E4751D"/>
    <w:rsid w:val="00E47DE5"/>
    <w:rsid w:val="00E539AC"/>
    <w:rsid w:val="00E540C2"/>
    <w:rsid w:val="00E544EE"/>
    <w:rsid w:val="00E559B6"/>
    <w:rsid w:val="00E61256"/>
    <w:rsid w:val="00E63636"/>
    <w:rsid w:val="00E64643"/>
    <w:rsid w:val="00E66E6C"/>
    <w:rsid w:val="00E67980"/>
    <w:rsid w:val="00E70AF7"/>
    <w:rsid w:val="00E71C22"/>
    <w:rsid w:val="00E76943"/>
    <w:rsid w:val="00E820BA"/>
    <w:rsid w:val="00E823F5"/>
    <w:rsid w:val="00E82446"/>
    <w:rsid w:val="00E82E43"/>
    <w:rsid w:val="00E85970"/>
    <w:rsid w:val="00E85FC5"/>
    <w:rsid w:val="00E9627D"/>
    <w:rsid w:val="00E96B9F"/>
    <w:rsid w:val="00E971CD"/>
    <w:rsid w:val="00EA219F"/>
    <w:rsid w:val="00EA6F34"/>
    <w:rsid w:val="00EB1BFD"/>
    <w:rsid w:val="00EC030F"/>
    <w:rsid w:val="00EC36E3"/>
    <w:rsid w:val="00EC4547"/>
    <w:rsid w:val="00EC563D"/>
    <w:rsid w:val="00EC5683"/>
    <w:rsid w:val="00EC6B23"/>
    <w:rsid w:val="00ED07DF"/>
    <w:rsid w:val="00ED28BF"/>
    <w:rsid w:val="00ED3903"/>
    <w:rsid w:val="00ED4B96"/>
    <w:rsid w:val="00ED6EBE"/>
    <w:rsid w:val="00EE02F6"/>
    <w:rsid w:val="00EE0310"/>
    <w:rsid w:val="00EE053D"/>
    <w:rsid w:val="00EE1F7F"/>
    <w:rsid w:val="00EE360E"/>
    <w:rsid w:val="00EE3D4D"/>
    <w:rsid w:val="00EE4B63"/>
    <w:rsid w:val="00EE6794"/>
    <w:rsid w:val="00EE6E93"/>
    <w:rsid w:val="00EE7093"/>
    <w:rsid w:val="00EE78B9"/>
    <w:rsid w:val="00EF2658"/>
    <w:rsid w:val="00EF418B"/>
    <w:rsid w:val="00F0667D"/>
    <w:rsid w:val="00F07077"/>
    <w:rsid w:val="00F10A97"/>
    <w:rsid w:val="00F13FFA"/>
    <w:rsid w:val="00F153E5"/>
    <w:rsid w:val="00F15661"/>
    <w:rsid w:val="00F16C73"/>
    <w:rsid w:val="00F17174"/>
    <w:rsid w:val="00F221B0"/>
    <w:rsid w:val="00F23872"/>
    <w:rsid w:val="00F23FC5"/>
    <w:rsid w:val="00F25628"/>
    <w:rsid w:val="00F26837"/>
    <w:rsid w:val="00F27ACA"/>
    <w:rsid w:val="00F33BB7"/>
    <w:rsid w:val="00F35AD6"/>
    <w:rsid w:val="00F35C0E"/>
    <w:rsid w:val="00F37646"/>
    <w:rsid w:val="00F431C6"/>
    <w:rsid w:val="00F43B0C"/>
    <w:rsid w:val="00F50089"/>
    <w:rsid w:val="00F509F7"/>
    <w:rsid w:val="00F520FE"/>
    <w:rsid w:val="00F54EAF"/>
    <w:rsid w:val="00F5561E"/>
    <w:rsid w:val="00F5768C"/>
    <w:rsid w:val="00F60AF3"/>
    <w:rsid w:val="00F64D9C"/>
    <w:rsid w:val="00F65446"/>
    <w:rsid w:val="00F733AA"/>
    <w:rsid w:val="00F7394D"/>
    <w:rsid w:val="00F753E2"/>
    <w:rsid w:val="00F755D9"/>
    <w:rsid w:val="00F75DEF"/>
    <w:rsid w:val="00F77935"/>
    <w:rsid w:val="00F77E37"/>
    <w:rsid w:val="00F82998"/>
    <w:rsid w:val="00F83266"/>
    <w:rsid w:val="00F85A94"/>
    <w:rsid w:val="00F8668E"/>
    <w:rsid w:val="00F9259E"/>
    <w:rsid w:val="00F97F75"/>
    <w:rsid w:val="00FA1D76"/>
    <w:rsid w:val="00FA2744"/>
    <w:rsid w:val="00FA30C4"/>
    <w:rsid w:val="00FA33C6"/>
    <w:rsid w:val="00FA4ACD"/>
    <w:rsid w:val="00FA7B36"/>
    <w:rsid w:val="00FB3D76"/>
    <w:rsid w:val="00FC13A7"/>
    <w:rsid w:val="00FC1912"/>
    <w:rsid w:val="00FC1BE9"/>
    <w:rsid w:val="00FC2B24"/>
    <w:rsid w:val="00FC2D63"/>
    <w:rsid w:val="00FC50E9"/>
    <w:rsid w:val="00FD1AA6"/>
    <w:rsid w:val="00FD4E4B"/>
    <w:rsid w:val="00FD5847"/>
    <w:rsid w:val="00FD6E9A"/>
    <w:rsid w:val="00FD7ADF"/>
    <w:rsid w:val="00FE078D"/>
    <w:rsid w:val="00FE1BE0"/>
    <w:rsid w:val="00FE28DE"/>
    <w:rsid w:val="00FE3ACF"/>
    <w:rsid w:val="00FE3F14"/>
    <w:rsid w:val="00FE48E3"/>
    <w:rsid w:val="00FE4CC4"/>
    <w:rsid w:val="00FE4D37"/>
    <w:rsid w:val="00FF1D11"/>
    <w:rsid w:val="00FF6EDD"/>
    <w:rsid w:val="00FF744A"/>
    <w:rsid w:val="021E2B95"/>
    <w:rsid w:val="11B114CB"/>
    <w:rsid w:val="13A2723D"/>
    <w:rsid w:val="141E6CD0"/>
    <w:rsid w:val="1AC7486D"/>
    <w:rsid w:val="1D3D6689"/>
    <w:rsid w:val="1DF21D24"/>
    <w:rsid w:val="20572AD3"/>
    <w:rsid w:val="22095271"/>
    <w:rsid w:val="2C4D698E"/>
    <w:rsid w:val="41B21E2C"/>
    <w:rsid w:val="423767DB"/>
    <w:rsid w:val="49530D47"/>
    <w:rsid w:val="4CEE1E58"/>
    <w:rsid w:val="52D1446F"/>
    <w:rsid w:val="55E57DFF"/>
    <w:rsid w:val="63CA40E4"/>
    <w:rsid w:val="64750A9E"/>
    <w:rsid w:val="6F556547"/>
    <w:rsid w:val="7C655F98"/>
    <w:rsid w:val="7E5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156" w:beforeLines="50" w:after="156" w:afterLines="50" w:line="400" w:lineRule="exact"/>
      <w:jc w:val="center"/>
      <w:outlineLvl w:val="0"/>
    </w:pPr>
    <w:rPr>
      <w:rFonts w:eastAsia="黑体"/>
      <w:caps/>
      <w:kern w:val="44"/>
      <w:sz w:val="24"/>
      <w:szCs w:val="44"/>
    </w:rPr>
  </w:style>
  <w:style w:type="paragraph" w:styleId="3">
    <w:name w:val="heading 2"/>
    <w:basedOn w:val="1"/>
    <w:next w:val="1"/>
    <w:qFormat/>
    <w:uiPriority w:val="0"/>
    <w:pPr>
      <w:keepNext/>
      <w:keepLines/>
      <w:numPr>
        <w:ilvl w:val="1"/>
        <w:numId w:val="1"/>
      </w:numPr>
      <w:spacing w:before="156" w:beforeLines="50" w:after="156" w:afterLines="50" w:line="400" w:lineRule="exact"/>
      <w:outlineLvl w:val="1"/>
    </w:pPr>
    <w:rPr>
      <w:rFonts w:ascii="Arial" w:hAnsi="Arial" w:eastAsia="黑体"/>
      <w:sz w:val="24"/>
      <w:szCs w:val="32"/>
    </w:rPr>
  </w:style>
  <w:style w:type="paragraph" w:styleId="4">
    <w:name w:val="heading 3"/>
    <w:basedOn w:val="1"/>
    <w:next w:val="1"/>
    <w:qFormat/>
    <w:uiPriority w:val="0"/>
    <w:pPr>
      <w:keepNext/>
      <w:keepLines/>
      <w:numPr>
        <w:ilvl w:val="2"/>
        <w:numId w:val="1"/>
      </w:numPr>
      <w:spacing w:before="156" w:beforeLines="50" w:after="156" w:afterLines="50" w:line="400" w:lineRule="exact"/>
      <w:outlineLvl w:val="2"/>
    </w:pPr>
    <w:rPr>
      <w:rFonts w:eastAsia="黑体"/>
      <w:sz w:val="24"/>
      <w:szCs w:val="32"/>
    </w:rPr>
  </w:style>
  <w:style w:type="paragraph" w:styleId="5">
    <w:name w:val="heading 4"/>
    <w:basedOn w:val="1"/>
    <w:next w:val="1"/>
    <w:qFormat/>
    <w:uiPriority w:val="0"/>
    <w:pPr>
      <w:keepNext/>
      <w:keepLines/>
      <w:numPr>
        <w:ilvl w:val="3"/>
        <w:numId w:val="1"/>
      </w:numPr>
      <w:spacing w:before="156" w:beforeLines="50" w:after="156" w:afterLines="50" w:line="400" w:lineRule="exact"/>
      <w:outlineLvl w:val="3"/>
    </w:pPr>
    <w:rPr>
      <w:rFonts w:ascii="Arial" w:hAnsi="Arial" w:eastAsia="黑体"/>
      <w:sz w:val="24"/>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qFormat/>
    <w:uiPriority w:val="0"/>
    <w:pPr>
      <w:spacing w:line="440" w:lineRule="exact"/>
      <w:ind w:right="-31" w:rightChars="-15" w:firstLine="2"/>
    </w:pPr>
    <w:rPr>
      <w:rFonts w:ascii="宋体" w:hAnsi="宋体"/>
      <w:sz w:val="24"/>
      <w:szCs w:val="20"/>
    </w:rPr>
  </w:style>
  <w:style w:type="paragraph" w:styleId="12">
    <w:name w:val="Block Text"/>
    <w:basedOn w:val="1"/>
    <w:qFormat/>
    <w:uiPriority w:val="0"/>
    <w:pPr>
      <w:spacing w:line="600" w:lineRule="exact"/>
      <w:ind w:left="-105" w:leftChars="-50" w:right="-105" w:rightChars="-50"/>
      <w:jc w:val="center"/>
    </w:pPr>
    <w:rPr>
      <w:rFonts w:ascii="仿宋_GB2312" w:hAnsi="宋体" w:eastAsia="仿宋_GB2312"/>
      <w:sz w:val="30"/>
    </w:rPr>
  </w:style>
  <w:style w:type="paragraph" w:styleId="13">
    <w:name w:val="toc 3"/>
    <w:basedOn w:val="1"/>
    <w:next w:val="1"/>
    <w:semiHidden/>
    <w:qFormat/>
    <w:uiPriority w:val="0"/>
    <w:pPr>
      <w:tabs>
        <w:tab w:val="left" w:pos="900"/>
        <w:tab w:val="right" w:leader="dot" w:pos="8777"/>
      </w:tabs>
      <w:spacing w:line="300" w:lineRule="auto"/>
      <w:ind w:left="200" w:leftChars="200"/>
    </w:pPr>
    <w:rPr>
      <w:sz w:val="24"/>
    </w:r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540"/>
        <w:tab w:val="right" w:leader="dot" w:pos="8777"/>
      </w:tabs>
      <w:spacing w:line="300" w:lineRule="auto"/>
    </w:pPr>
    <w:rPr>
      <w:caps/>
      <w:sz w:val="24"/>
    </w:rPr>
  </w:style>
  <w:style w:type="paragraph" w:styleId="18">
    <w:name w:val="toc 4"/>
    <w:basedOn w:val="1"/>
    <w:next w:val="1"/>
    <w:semiHidden/>
    <w:qFormat/>
    <w:uiPriority w:val="0"/>
    <w:pPr>
      <w:spacing w:line="300" w:lineRule="auto"/>
      <w:ind w:left="250" w:leftChars="250"/>
      <w:jc w:val="right"/>
    </w:pPr>
    <w:rPr>
      <w:sz w:val="24"/>
    </w:rPr>
  </w:style>
  <w:style w:type="paragraph" w:styleId="19">
    <w:name w:val="footnote text"/>
    <w:basedOn w:val="1"/>
    <w:link w:val="32"/>
    <w:qFormat/>
    <w:uiPriority w:val="0"/>
    <w:pPr>
      <w:snapToGrid w:val="0"/>
      <w:jc w:val="left"/>
    </w:pPr>
    <w:rPr>
      <w:sz w:val="18"/>
      <w:szCs w:val="18"/>
    </w:rPr>
  </w:style>
  <w:style w:type="paragraph" w:styleId="20">
    <w:name w:val="toc 2"/>
    <w:basedOn w:val="1"/>
    <w:next w:val="1"/>
    <w:semiHidden/>
    <w:qFormat/>
    <w:uiPriority w:val="0"/>
    <w:pPr>
      <w:tabs>
        <w:tab w:val="left" w:pos="360"/>
        <w:tab w:val="right" w:leader="dot" w:pos="8777"/>
      </w:tabs>
      <w:spacing w:line="300" w:lineRule="auto"/>
      <w:ind w:left="100" w:leftChars="100"/>
    </w:pPr>
    <w:rPr>
      <w:sz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footnote reference"/>
    <w:qFormat/>
    <w:uiPriority w:val="0"/>
    <w:rPr>
      <w:vertAlign w:val="superscript"/>
    </w:rPr>
  </w:style>
  <w:style w:type="paragraph" w:customStyle="1" w:styleId="27">
    <w:name w:val="样式 目录 1 + 行距: 多倍行距 1.25 字行"/>
    <w:basedOn w:val="17"/>
    <w:qFormat/>
    <w:uiPriority w:val="0"/>
    <w:rPr>
      <w:rFonts w:cs="宋体"/>
      <w:szCs w:val="20"/>
    </w:rPr>
  </w:style>
  <w:style w:type="paragraph" w:customStyle="1" w:styleId="28">
    <w:name w:val="样式 标题 2 + 黑体 小三 居中 段前: 0.5 行 段后: 0.5 行 行距: 多倍行距 1.25 字行"/>
    <w:basedOn w:val="2"/>
    <w:qFormat/>
    <w:uiPriority w:val="0"/>
    <w:pPr>
      <w:spacing w:before="0" w:after="0" w:line="300" w:lineRule="auto"/>
    </w:pPr>
    <w:rPr>
      <w:rFonts w:ascii="黑体" w:hAnsi="宋体" w:cs="宋体"/>
      <w:sz w:val="30"/>
      <w:szCs w:val="20"/>
    </w:rPr>
  </w:style>
  <w:style w:type="paragraph" w:customStyle="1" w:styleId="29">
    <w:name w:val="标题格式1"/>
    <w:basedOn w:val="2"/>
    <w:qFormat/>
    <w:uiPriority w:val="0"/>
    <w:pPr>
      <w:tabs>
        <w:tab w:val="clear" w:pos="567"/>
      </w:tabs>
      <w:jc w:val="both"/>
    </w:pPr>
    <w:rPr>
      <w:rFonts w:ascii="黑体" w:hAnsi="黑体"/>
      <w:szCs w:val="24"/>
    </w:rPr>
  </w:style>
  <w:style w:type="paragraph" w:customStyle="1" w:styleId="30">
    <w:name w:val="海大标题1"/>
    <w:basedOn w:val="29"/>
    <w:qFormat/>
    <w:uiPriority w:val="0"/>
    <w:pPr>
      <w:numPr>
        <w:numId w:val="0"/>
      </w:numPr>
      <w:spacing w:before="50" w:after="50"/>
    </w:pPr>
  </w:style>
  <w:style w:type="paragraph" w:customStyle="1" w:styleId="31">
    <w:name w:val="海大正文2"/>
    <w:basedOn w:val="1"/>
    <w:link w:val="35"/>
    <w:qFormat/>
    <w:uiPriority w:val="0"/>
    <w:pPr>
      <w:spacing w:line="400" w:lineRule="exact"/>
      <w:ind w:firstLine="420" w:firstLineChars="200"/>
    </w:pPr>
    <w:rPr>
      <w:rFonts w:ascii="宋体" w:hAnsi="宋体"/>
      <w:szCs w:val="21"/>
    </w:rPr>
  </w:style>
  <w:style w:type="character" w:customStyle="1" w:styleId="32">
    <w:name w:val="脚注文本 Char"/>
    <w:link w:val="19"/>
    <w:qFormat/>
    <w:uiPriority w:val="0"/>
    <w:rPr>
      <w:kern w:val="2"/>
      <w:sz w:val="18"/>
      <w:szCs w:val="18"/>
    </w:rPr>
  </w:style>
  <w:style w:type="character" w:customStyle="1" w:styleId="33">
    <w:name w:val="批注框文本 Char"/>
    <w:basedOn w:val="23"/>
    <w:link w:val="14"/>
    <w:qFormat/>
    <w:uiPriority w:val="0"/>
    <w:rPr>
      <w:kern w:val="2"/>
      <w:sz w:val="18"/>
      <w:szCs w:val="18"/>
    </w:rPr>
  </w:style>
  <w:style w:type="paragraph" w:customStyle="1" w:styleId="34">
    <w:name w:val="参文A1"/>
    <w:basedOn w:val="2"/>
    <w:qFormat/>
    <w:uiPriority w:val="0"/>
    <w:pPr>
      <w:numPr>
        <w:numId w:val="0"/>
      </w:numPr>
      <w:spacing w:before="0" w:beforeLines="0" w:after="0" w:afterLines="0" w:line="300" w:lineRule="auto"/>
    </w:pPr>
    <w:rPr>
      <w:sz w:val="30"/>
      <w:szCs w:val="30"/>
    </w:rPr>
  </w:style>
  <w:style w:type="character" w:customStyle="1" w:styleId="35">
    <w:name w:val="海大正文2 Char"/>
    <w:link w:val="31"/>
    <w:qFormat/>
    <w:uiPriority w:val="0"/>
    <w:rPr>
      <w:rFonts w:ascii="宋体" w:hAnsi="宋体"/>
      <w:kern w:val="2"/>
      <w:sz w:val="21"/>
      <w:szCs w:val="21"/>
    </w:rPr>
  </w:style>
  <w:style w:type="paragraph" w:customStyle="1" w:styleId="36">
    <w:name w:val="海大一级标题A1"/>
    <w:basedOn w:val="1"/>
    <w:qFormat/>
    <w:uiPriority w:val="0"/>
    <w:pPr>
      <w:keepNext/>
      <w:keepLines/>
      <w:spacing w:before="50" w:beforeLines="50" w:after="50" w:afterLines="50" w:line="400" w:lineRule="exact"/>
      <w:outlineLvl w:val="0"/>
    </w:pPr>
    <w:rPr>
      <w:rFonts w:hint="eastAsia" w:ascii="黑体" w:hAnsi="黑体" w:eastAsia="黑体"/>
      <w:caps/>
      <w:color w:val="000000" w:themeColor="text1"/>
      <w:kern w:val="44"/>
      <w:sz w:val="24"/>
      <w14:textFill>
        <w14:solidFill>
          <w14:schemeClr w14:val="tx1"/>
        </w14:solidFill>
      </w14:textFill>
    </w:rPr>
  </w:style>
  <w:style w:type="paragraph" w:customStyle="1" w:styleId="37">
    <w:name w:val="海大二级标题A1"/>
    <w:basedOn w:val="1"/>
    <w:qFormat/>
    <w:uiPriority w:val="0"/>
    <w:pPr>
      <w:keepNext/>
      <w:keepLines/>
      <w:tabs>
        <w:tab w:val="left" w:pos="567"/>
      </w:tabs>
      <w:spacing w:before="50" w:beforeLines="50" w:after="50" w:afterLines="50" w:line="400" w:lineRule="exact"/>
      <w:outlineLvl w:val="0"/>
    </w:pPr>
    <w:rPr>
      <w:rFonts w:hint="eastAsia" w:ascii="黑体" w:hAnsi="黑体" w:eastAsia="黑体"/>
      <w:caps/>
      <w:color w:val="000000" w:themeColor="text1"/>
      <w:kern w:val="44"/>
      <w:sz w:val="24"/>
      <w14:textFill>
        <w14:solidFill>
          <w14:schemeClr w14:val="tx1"/>
        </w14:solidFill>
      </w14:textFill>
    </w:rPr>
  </w:style>
  <w:style w:type="paragraph" w:customStyle="1" w:styleId="38">
    <w:name w:val="海大三级标题A1"/>
    <w:basedOn w:val="1"/>
    <w:qFormat/>
    <w:uiPriority w:val="0"/>
    <w:pPr>
      <w:keepNext/>
      <w:keepLines/>
      <w:tabs>
        <w:tab w:val="left" w:pos="567"/>
      </w:tabs>
      <w:spacing w:before="50" w:beforeLines="50" w:after="50" w:afterLines="50" w:line="400" w:lineRule="exact"/>
      <w:outlineLvl w:val="0"/>
    </w:pPr>
    <w:rPr>
      <w:rFonts w:hint="eastAsia" w:ascii="黑体" w:hAnsi="黑体" w:eastAsia="黑体"/>
      <w:caps/>
      <w:color w:val="000000" w:themeColor="text1"/>
      <w:kern w:val="44"/>
      <w:sz w:val="24"/>
      <w14:textFill>
        <w14:solidFill>
          <w14:schemeClr w14:val="tx1"/>
        </w14:solidFill>
      </w14:textFill>
    </w:rPr>
  </w:style>
  <w:style w:type="paragraph" w:customStyle="1" w:styleId="39">
    <w:name w:val="海大正文A1"/>
    <w:basedOn w:val="1"/>
    <w:qFormat/>
    <w:uiPriority w:val="0"/>
    <w:pPr>
      <w:spacing w:line="400" w:lineRule="exact"/>
      <w:ind w:firstLine="420" w:firstLineChars="200"/>
    </w:pPr>
    <w:rPr>
      <w:rFonts w:hint="eastAsia" w:ascii="宋体" w:hAnsi="宋体"/>
      <w:color w:val="000000" w:themeColor="text1"/>
      <w:szCs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dministrator\Desktop\&#29983;&#25104;&#27169;&#26495;\aa.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9B26-DBC1-4ED9-811E-D37C96BF66A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2058</Words>
  <Characters>3802</Characters>
  <Lines>98</Lines>
  <Paragraphs>27</Paragraphs>
  <TotalTime>0</TotalTime>
  <ScaleCrop>false</ScaleCrop>
  <LinksUpToDate>false</LinksUpToDate>
  <CharactersWithSpaces>4233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2021-08-11T02:17:00Z</dcterms:created>
  <dc:creator>JYK</dc:creator>
  <cp:lastModifiedBy>Administrator</cp:lastModifiedBy>
  <cp:lastPrinted>2006-04-22T14:05:00Z</cp:lastPrinted>
  <dcterms:modified xsi:type="dcterms:W3CDTF">2023-05-03T02:42:25Z</dcterms:modified>
  <dc:title>湛江海洋大学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0D0F8E9F0BA647FDBC9AA9161EC6BC51_13</vt:lpwstr>
  </property>
</Properties>
</file>