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 w:afterLines="20" w:line="360" w:lineRule="auto"/>
        <w:rPr>
          <w:rFonts w:eastAsia="楷体_GB2312"/>
          <w:b/>
          <w:bCs/>
          <w:color w:val="0000FF"/>
          <w:sz w:val="72"/>
          <w:szCs w:val="72"/>
        </w:rPr>
      </w:pPr>
      <w:r>
        <w:drawing>
          <wp:inline distT="0" distB="0" distL="0" distR="0">
            <wp:extent cx="3352800" cy="752475"/>
            <wp:effectExtent l="0" t="0" r="0" b="9525"/>
            <wp:docPr id="1" name="图片 10" descr="C:\Users\Yan\Desktop\1学校校徽 校名中英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Yan\Desktop\1学校校徽 校名中英文.png"/>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tretch>
                      <a:fillRect/>
                    </a:stretch>
                  </pic:blipFill>
                  <pic:spPr>
                    <a:xfrm>
                      <a:off x="0" y="0"/>
                      <a:ext cx="3352800" cy="752475"/>
                    </a:xfrm>
                    <a:prstGeom prst="rect">
                      <a:avLst/>
                    </a:prstGeom>
                    <a:noFill/>
                    <a:ln>
                      <a:noFill/>
                    </a:ln>
                  </pic:spPr>
                </pic:pic>
              </a:graphicData>
            </a:graphic>
          </wp:inline>
        </w:drawing>
      </w:r>
    </w:p>
    <w:p>
      <w:pPr>
        <w:pStyle w:val="2"/>
        <w:spacing w:after="0" w:line="360" w:lineRule="auto"/>
        <w:ind w:right="-632" w:rightChars="-301"/>
        <w:rPr>
          <w:rFonts w:ascii="黑体" w:eastAsia="黑体"/>
          <w:sz w:val="72"/>
          <w:szCs w:val="72"/>
        </w:rPr>
      </w:pPr>
    </w:p>
    <w:p>
      <w:pPr>
        <w:pStyle w:val="2"/>
        <w:spacing w:after="0" w:line="360" w:lineRule="auto"/>
        <w:ind w:right="-632" w:rightChars="-301"/>
        <w:rPr>
          <w:rFonts w:ascii="黑体" w:eastAsia="黑体"/>
          <w:sz w:val="72"/>
          <w:szCs w:val="72"/>
        </w:rPr>
      </w:pPr>
      <w:r>
        <w:rPr>
          <w:rFonts w:hint="eastAsia" w:ascii="黑体" w:eastAsia="黑体"/>
          <w:sz w:val="72"/>
          <w:szCs w:val="72"/>
        </w:rPr>
        <w:t>本科毕业论文</w:t>
      </w:r>
      <w:r>
        <w:rPr>
          <w:rFonts w:ascii="黑体" w:eastAsia="黑体"/>
          <w:sz w:val="72"/>
          <w:szCs w:val="72"/>
        </w:rPr>
        <w:t>(</w:t>
      </w:r>
      <w:r>
        <w:rPr>
          <w:rFonts w:hint="eastAsia" w:ascii="黑体" w:eastAsia="黑体"/>
          <w:sz w:val="72"/>
          <w:szCs w:val="72"/>
        </w:rPr>
        <w:t>设计</w:t>
      </w:r>
      <w:r>
        <w:rPr>
          <w:rFonts w:ascii="黑体" w:eastAsia="黑体"/>
          <w:sz w:val="72"/>
          <w:szCs w:val="72"/>
        </w:rPr>
        <w:t>)</w:t>
      </w:r>
      <w:r>
        <w:rPr>
          <w:rFonts w:hint="eastAsia" w:ascii="黑体" w:eastAsia="黑体"/>
          <w:sz w:val="72"/>
          <w:szCs w:val="72"/>
        </w:rPr>
        <w:t>开题报告</w:t>
      </w:r>
    </w:p>
    <w:p>
      <w:pPr>
        <w:ind w:firstLine="2339" w:firstLineChars="731"/>
        <w:rPr>
          <w:rFonts w:ascii="宋体" w:hAnsi="宋体"/>
          <w:sz w:val="32"/>
        </w:rPr>
      </w:pPr>
    </w:p>
    <w:p>
      <w:pPr>
        <w:ind w:firstLine="2339" w:firstLineChars="731"/>
        <w:rPr>
          <w:rFonts w:ascii="宋体" w:hAnsi="宋体"/>
          <w:b/>
          <w:sz w:val="32"/>
        </w:rPr>
      </w:pPr>
    </w:p>
    <w:p>
      <w:pPr>
        <w:spacing w:after="0" w:line="360" w:lineRule="auto"/>
        <w:ind w:firstLine="1260" w:firstLineChars="350"/>
        <w:rPr>
          <w:rFonts w:hint="default" w:ascii="黑体" w:hAnsi="黑体" w:eastAsia="黑体"/>
          <w:b/>
          <w:bCs/>
          <w:sz w:val="36"/>
          <w:lang w:val="en-US" w:eastAsia="zh-CN"/>
        </w:rPr>
      </w:pPr>
      <w:r>
        <w:rPr>
          <w:rFonts w:hint="eastAsia" w:ascii="黑体" w:hAnsi="黑体" w:eastAsia="黑体"/>
          <w:b/>
          <w:bCs/>
          <w:sz w:val="36"/>
        </w:rPr>
        <w:t>论文题目：</w:t>
      </w:r>
      <w:r>
        <w:rPr>
          <w:rFonts w:hint="eastAsia" w:ascii="黑体" w:hAnsi="黑体" w:eastAsia="黑体"/>
          <w:b/>
          <w:bCs/>
          <w:sz w:val="36"/>
          <w:u w:val="single"/>
        </w:rPr>
        <w:t>万力轮胎公司应收账款风险管理研究</w:t>
      </w:r>
      <w:r>
        <w:rPr>
          <w:rFonts w:hint="eastAsia" w:ascii="黑体" w:hAnsi="黑体" w:eastAsia="黑体"/>
          <w:b/>
          <w:bCs/>
          <w:sz w:val="36"/>
          <w:u w:val="single"/>
          <w:lang w:val="en-US" w:eastAsia="zh-CN"/>
        </w:rPr>
        <w:t xml:space="preserve">  </w:t>
      </w:r>
    </w:p>
    <w:p>
      <w:pPr>
        <w:rPr>
          <w:rFonts w:ascii="宋体" w:hAnsi="宋体"/>
          <w:sz w:val="32"/>
        </w:rPr>
      </w:pPr>
      <w:bookmarkStart w:id="0" w:name="_GoBack"/>
      <w:bookmarkEnd w:id="0"/>
    </w:p>
    <w:p>
      <w:pPr>
        <w:ind w:firstLine="1920" w:firstLineChars="600"/>
        <w:rPr>
          <w:rFonts w:ascii="宋体" w:hAnsi="宋体"/>
          <w:b/>
          <w:sz w:val="32"/>
          <w:szCs w:val="32"/>
        </w:rPr>
      </w:pPr>
      <w:r>
        <w:rPr>
          <w:rFonts w:hint="eastAsia" w:ascii="宋体" w:hAnsi="宋体"/>
          <w:b/>
          <w:sz w:val="32"/>
          <w:szCs w:val="32"/>
        </w:rPr>
        <w:t>学生姓名：</w:t>
      </w:r>
      <w:r>
        <w:rPr>
          <w:rFonts w:hint="eastAsia" w:ascii="宋体" w:hAnsi="宋体"/>
          <w:b/>
          <w:sz w:val="32"/>
          <w:szCs w:val="32"/>
          <w:u w:val="single"/>
        </w:rPr>
        <w:t xml:space="preserve">  曹少媛   </w:t>
      </w:r>
    </w:p>
    <w:p>
      <w:pPr>
        <w:ind w:firstLine="1920" w:firstLineChars="600"/>
        <w:rPr>
          <w:rFonts w:ascii="宋体" w:hAnsi="宋体"/>
          <w:b/>
          <w:sz w:val="32"/>
          <w:szCs w:val="32"/>
        </w:rPr>
      </w:pPr>
      <w:r>
        <w:rPr>
          <w:rFonts w:hint="eastAsia" w:ascii="宋体" w:hAnsi="宋体"/>
          <w:b/>
          <w:sz w:val="32"/>
          <w:szCs w:val="32"/>
        </w:rPr>
        <w:t xml:space="preserve">学 </w:t>
      </w:r>
      <w:r>
        <w:rPr>
          <w:rFonts w:ascii="宋体" w:hAnsi="宋体"/>
          <w:b/>
          <w:sz w:val="32"/>
          <w:szCs w:val="32"/>
        </w:rPr>
        <w:t xml:space="preserve">   </w:t>
      </w:r>
      <w:r>
        <w:rPr>
          <w:rFonts w:hint="eastAsia" w:ascii="宋体" w:hAnsi="宋体"/>
          <w:b/>
          <w:sz w:val="32"/>
          <w:szCs w:val="32"/>
        </w:rPr>
        <w:t>号：</w:t>
      </w:r>
      <w:r>
        <w:rPr>
          <w:rFonts w:hint="eastAsia" w:ascii="宋体" w:hAnsi="宋体"/>
          <w:b/>
          <w:sz w:val="32"/>
          <w:szCs w:val="32"/>
          <w:u w:val="single"/>
        </w:rPr>
        <w:t xml:space="preserve">   21110203029004  </w:t>
      </w:r>
    </w:p>
    <w:p>
      <w:pPr>
        <w:ind w:firstLine="1920" w:firstLineChars="600"/>
        <w:rPr>
          <w:rFonts w:ascii="宋体" w:hAnsi="宋体"/>
          <w:b/>
          <w:sz w:val="32"/>
          <w:szCs w:val="32"/>
        </w:rPr>
      </w:pPr>
      <w:r>
        <w:rPr>
          <w:rFonts w:hint="eastAsia" w:ascii="宋体" w:hAnsi="宋体"/>
          <w:b/>
          <w:sz w:val="32"/>
          <w:szCs w:val="32"/>
          <w:lang w:val="en-US" w:eastAsia="zh-CN"/>
        </w:rPr>
        <w:t>教学单位</w:t>
      </w:r>
      <w:r>
        <w:rPr>
          <w:rFonts w:hint="eastAsia" w:ascii="宋体" w:hAnsi="宋体"/>
          <w:b/>
          <w:sz w:val="32"/>
          <w:szCs w:val="32"/>
        </w:rPr>
        <w:t>：</w:t>
      </w:r>
      <w:r>
        <w:rPr>
          <w:rFonts w:hint="eastAsia" w:ascii="宋体" w:hAnsi="宋体"/>
          <w:b/>
          <w:sz w:val="32"/>
          <w:szCs w:val="32"/>
          <w:u w:val="single"/>
        </w:rPr>
        <w:t xml:space="preserve">              </w:t>
      </w:r>
    </w:p>
    <w:p>
      <w:pPr>
        <w:ind w:firstLine="1920" w:firstLineChars="600"/>
        <w:rPr>
          <w:rFonts w:hint="eastAsia" w:ascii="宋体" w:hAnsi="宋体" w:eastAsia="宋体"/>
          <w:b/>
          <w:sz w:val="32"/>
          <w:szCs w:val="32"/>
          <w:lang w:val="en-US" w:eastAsia="zh-CN"/>
        </w:rPr>
      </w:pPr>
      <w:r>
        <w:rPr>
          <w:rFonts w:hint="eastAsia" w:ascii="宋体" w:hAnsi="宋体"/>
          <w:b/>
          <w:sz w:val="32"/>
          <w:szCs w:val="32"/>
        </w:rPr>
        <w:t xml:space="preserve">专 </w:t>
      </w:r>
      <w:r>
        <w:rPr>
          <w:rFonts w:ascii="宋体" w:hAnsi="宋体"/>
          <w:b/>
          <w:sz w:val="32"/>
          <w:szCs w:val="32"/>
        </w:rPr>
        <w:t xml:space="preserve">   </w:t>
      </w:r>
      <w:r>
        <w:rPr>
          <w:rFonts w:hint="eastAsia" w:ascii="宋体" w:hAnsi="宋体"/>
          <w:b/>
          <w:sz w:val="32"/>
          <w:szCs w:val="32"/>
        </w:rPr>
        <w:t>业：</w:t>
      </w:r>
      <w:r>
        <w:rPr>
          <w:rFonts w:hint="eastAsia" w:ascii="宋体" w:hAnsi="宋体"/>
          <w:b/>
          <w:sz w:val="32"/>
          <w:szCs w:val="32"/>
          <w:u w:val="single"/>
        </w:rPr>
        <w:t xml:space="preserve">    会计学   </w:t>
      </w:r>
      <w:r>
        <w:rPr>
          <w:rFonts w:hint="eastAsia" w:ascii="宋体" w:hAnsi="宋体"/>
          <w:b/>
          <w:sz w:val="32"/>
          <w:szCs w:val="32"/>
          <w:u w:val="single"/>
          <w:lang w:val="en-US" w:eastAsia="zh-CN"/>
        </w:rPr>
        <w:t xml:space="preserve"> </w:t>
      </w:r>
    </w:p>
    <w:p>
      <w:pPr>
        <w:ind w:firstLine="1920" w:firstLineChars="600"/>
        <w:rPr>
          <w:rFonts w:hint="eastAsia" w:ascii="宋体" w:hAnsi="宋体"/>
          <w:b/>
          <w:color w:val="auto"/>
          <w:sz w:val="32"/>
          <w:szCs w:val="32"/>
          <w:u w:val="single"/>
          <w:lang w:val="en-US" w:eastAsia="zh-CN"/>
        </w:rPr>
      </w:pPr>
      <w:r>
        <w:rPr>
          <w:rFonts w:hint="eastAsia" w:ascii="宋体" w:hAnsi="宋体"/>
          <w:b/>
          <w:sz w:val="32"/>
          <w:szCs w:val="32"/>
        </w:rPr>
        <w:t>指导教师：</w:t>
      </w:r>
      <w:r>
        <w:rPr>
          <w:rFonts w:hint="eastAsia" w:ascii="宋体" w:hAnsi="宋体" w:cs="Times New Roman"/>
          <w:b/>
          <w:color w:val="auto"/>
          <w:sz w:val="32"/>
          <w:szCs w:val="32"/>
          <w:u w:val="single"/>
          <w:lang w:val="en-US" w:eastAsia="zh-CN"/>
        </w:rPr>
        <w:t xml:space="preserve">刘衎  </w:t>
      </w:r>
      <w:r>
        <w:rPr>
          <w:rFonts w:hint="eastAsia" w:ascii="宋体" w:hAnsi="宋体"/>
          <w:b/>
          <w:sz w:val="32"/>
          <w:szCs w:val="32"/>
          <w:u w:val="single"/>
        </w:rPr>
        <w:t xml:space="preserve">   </w:t>
      </w:r>
      <w:r>
        <w:rPr>
          <w:rFonts w:hint="eastAsia" w:ascii="宋体" w:hAnsi="宋体"/>
          <w:b/>
          <w:sz w:val="32"/>
          <w:szCs w:val="32"/>
        </w:rPr>
        <w:t>职称：</w:t>
      </w:r>
      <w:r>
        <w:rPr>
          <w:rFonts w:hint="eastAsia" w:ascii="宋体" w:hAnsi="宋体"/>
          <w:b/>
          <w:sz w:val="32"/>
          <w:szCs w:val="32"/>
          <w:u w:val="single"/>
        </w:rPr>
        <w:t xml:space="preserve">  </w:t>
      </w:r>
      <w:r>
        <w:rPr>
          <w:rFonts w:hint="eastAsia" w:ascii="宋体" w:hAnsi="宋体"/>
          <w:b/>
          <w:color w:val="auto"/>
          <w:sz w:val="32"/>
          <w:szCs w:val="32"/>
          <w:u w:val="single"/>
          <w:lang w:val="en-US" w:eastAsia="zh-CN"/>
        </w:rPr>
        <w:t xml:space="preserve">讲师 </w:t>
      </w:r>
    </w:p>
    <w:p>
      <w:pPr>
        <w:ind w:firstLine="1920" w:firstLineChars="600"/>
        <w:rPr>
          <w:rFonts w:ascii="宋体" w:hAnsi="宋体"/>
          <w:b/>
          <w:sz w:val="32"/>
          <w:szCs w:val="32"/>
        </w:rPr>
      </w:pPr>
      <w:r>
        <w:rPr>
          <w:rFonts w:hint="eastAsia" w:ascii="宋体" w:hAnsi="宋体"/>
          <w:b/>
          <w:sz w:val="32"/>
          <w:szCs w:val="32"/>
        </w:rPr>
        <w:t>提交日期：</w:t>
      </w:r>
      <w:r>
        <w:rPr>
          <w:rFonts w:hint="eastAsia" w:ascii="宋体" w:hAnsi="宋体"/>
          <w:b/>
          <w:sz w:val="32"/>
          <w:szCs w:val="32"/>
          <w:u w:val="single"/>
        </w:rPr>
        <w:t xml:space="preserve">  </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w:t>
      </w:r>
    </w:p>
    <w:p>
      <w:pPr>
        <w:rPr>
          <w:rFonts w:ascii="宋体" w:hAnsi="宋体"/>
          <w:sz w:val="30"/>
        </w:rPr>
      </w:pPr>
    </w:p>
    <w:p>
      <w:pPr>
        <w:jc w:val="center"/>
        <w:rPr>
          <w:rFonts w:ascii="宋体" w:hAnsi="宋体"/>
          <w:b/>
          <w:bCs/>
          <w:spacing w:val="20"/>
          <w:sz w:val="36"/>
          <w:szCs w:val="36"/>
        </w:rPr>
      </w:pPr>
      <w:r>
        <w:rPr>
          <w:rFonts w:hint="eastAsia" w:ascii="宋体" w:hAnsi="宋体"/>
          <w:b/>
          <w:bCs/>
          <w:spacing w:val="20"/>
          <w:sz w:val="36"/>
          <w:szCs w:val="36"/>
        </w:rPr>
        <w:t>广东金融学院</w:t>
      </w:r>
      <w:r>
        <w:rPr>
          <w:rFonts w:hint="eastAsia" w:ascii="宋体" w:hAnsi="宋体"/>
          <w:b/>
          <w:bCs/>
          <w:spacing w:val="20"/>
          <w:sz w:val="36"/>
          <w:szCs w:val="36"/>
          <w:lang w:val="en-US" w:eastAsia="zh-CN"/>
        </w:rPr>
        <w:t>继续教育学院</w:t>
      </w:r>
      <w:r>
        <w:rPr>
          <w:rFonts w:hint="eastAsia" w:ascii="宋体" w:hAnsi="宋体"/>
          <w:b/>
          <w:bCs/>
          <w:spacing w:val="20"/>
          <w:sz w:val="36"/>
          <w:szCs w:val="36"/>
        </w:rPr>
        <w:t>制</w:t>
      </w:r>
    </w:p>
    <w:p>
      <w:pPr>
        <w:pStyle w:val="3"/>
        <w:spacing w:after="0" w:line="440" w:lineRule="exact"/>
        <w:ind w:left="718" w:leftChars="342" w:right="457" w:rightChars="218" w:firstLine="636" w:firstLineChars="212"/>
        <w:jc w:val="center"/>
        <w:rPr>
          <w:rFonts w:ascii="仿宋_GB2312"/>
          <w:b/>
          <w:bCs/>
          <w:sz w:val="30"/>
        </w:rPr>
      </w:pPr>
      <w:r>
        <w:rPr>
          <w:rFonts w:ascii="仿宋_GB2312"/>
          <w:b/>
          <w:bCs/>
          <w:sz w:val="30"/>
        </w:rPr>
        <w:br w:type="page"/>
      </w:r>
    </w:p>
    <w:p>
      <w:pPr>
        <w:pStyle w:val="3"/>
        <w:spacing w:after="0" w:line="440" w:lineRule="exact"/>
        <w:ind w:left="718" w:leftChars="342" w:right="457" w:rightChars="218" w:firstLine="678" w:firstLineChars="212"/>
        <w:jc w:val="center"/>
        <w:rPr>
          <w:rFonts w:ascii="黑体" w:hAnsi="黑体" w:eastAsia="黑体"/>
          <w:b/>
          <w:sz w:val="32"/>
          <w:szCs w:val="32"/>
        </w:rPr>
      </w:pPr>
      <w:r>
        <w:rPr>
          <w:rFonts w:hint="eastAsia" w:ascii="黑体" w:hAnsi="黑体" w:eastAsia="黑体"/>
          <w:b/>
          <w:sz w:val="32"/>
          <w:szCs w:val="32"/>
        </w:rPr>
        <w:t>开题报告填写要求</w:t>
      </w:r>
    </w:p>
    <w:p>
      <w:pPr>
        <w:pStyle w:val="3"/>
        <w:spacing w:after="0" w:line="440" w:lineRule="exact"/>
        <w:ind w:left="718" w:leftChars="342" w:right="457" w:rightChars="218" w:firstLine="678" w:firstLineChars="212"/>
        <w:jc w:val="center"/>
        <w:rPr>
          <w:rFonts w:ascii="黑体" w:hAnsi="黑体" w:eastAsia="黑体"/>
          <w:b/>
          <w:sz w:val="32"/>
          <w:szCs w:val="32"/>
        </w:rPr>
      </w:pPr>
    </w:p>
    <w:p>
      <w:pPr>
        <w:pStyle w:val="3"/>
        <w:spacing w:after="0" w:line="360" w:lineRule="auto"/>
        <w:ind w:left="718" w:leftChars="342" w:right="457" w:rightChars="218" w:firstLine="508" w:firstLineChars="212"/>
        <w:rPr>
          <w:rFonts w:ascii="宋体" w:hAnsi="宋体"/>
          <w:sz w:val="24"/>
        </w:rPr>
      </w:pPr>
      <w:r>
        <w:rPr>
          <w:rFonts w:hint="eastAsia" w:ascii="宋体" w:hAnsi="宋体"/>
          <w:sz w:val="24"/>
        </w:rPr>
        <w:t>1.开题报告（含“文献综述”）作为毕业论文（设计）答辩委员会对学生答辩资格审查的依据材料之一。此报告应在指导教师指导下，由学生在毕业论文（设计）工作前期完成，经指导教师签署意见后生效。</w:t>
      </w:r>
    </w:p>
    <w:p>
      <w:pPr>
        <w:pStyle w:val="3"/>
        <w:spacing w:after="0" w:line="360" w:lineRule="auto"/>
        <w:ind w:left="718" w:leftChars="342" w:right="457" w:rightChars="218" w:firstLine="508" w:firstLineChars="212"/>
        <w:rPr>
          <w:rFonts w:ascii="宋体" w:hAnsi="宋体"/>
          <w:sz w:val="24"/>
        </w:rPr>
      </w:pPr>
      <w:r>
        <w:rPr>
          <w:rFonts w:hint="eastAsia" w:ascii="宋体" w:hAnsi="宋体"/>
          <w:sz w:val="24"/>
        </w:rPr>
        <w:t>2.开题报告内容必须按统一设计的电子文档标准格式双面打印，完成后</w:t>
      </w:r>
      <w:r>
        <w:rPr>
          <w:rFonts w:hint="eastAsia" w:ascii="宋体" w:hAnsi="宋体"/>
          <w:sz w:val="24"/>
          <w:lang w:val="en-US" w:eastAsia="zh-CN"/>
        </w:rPr>
        <w:t>由</w:t>
      </w:r>
      <w:r>
        <w:rPr>
          <w:rFonts w:hint="eastAsia" w:ascii="宋体" w:hAnsi="宋体"/>
          <w:sz w:val="24"/>
        </w:rPr>
        <w:t>指导教师签署意见。</w:t>
      </w:r>
    </w:p>
    <w:p>
      <w:pPr>
        <w:pStyle w:val="3"/>
        <w:spacing w:after="0" w:line="360" w:lineRule="auto"/>
        <w:ind w:left="718" w:leftChars="342" w:right="457" w:rightChars="218" w:firstLine="508" w:firstLineChars="212"/>
        <w:rPr>
          <w:rFonts w:ascii="宋体" w:hAnsi="宋体"/>
          <w:sz w:val="24"/>
        </w:rPr>
      </w:pPr>
      <w:r>
        <w:rPr>
          <w:rFonts w:hint="eastAsia" w:ascii="宋体" w:hAnsi="宋体"/>
          <w:sz w:val="24"/>
        </w:rPr>
        <w:t>3.参考文献应不少于15篇。</w:t>
      </w:r>
    </w:p>
    <w:p>
      <w:pPr>
        <w:pStyle w:val="3"/>
        <w:spacing w:after="0" w:line="360" w:lineRule="auto"/>
        <w:ind w:left="718" w:leftChars="342" w:right="457" w:rightChars="218" w:firstLine="508" w:firstLineChars="212"/>
        <w:rPr>
          <w:rFonts w:ascii="宋体" w:hAnsi="宋体"/>
          <w:sz w:val="24"/>
        </w:rPr>
      </w:pPr>
      <w:r>
        <w:rPr>
          <w:rFonts w:hint="eastAsia" w:ascii="宋体" w:hAnsi="宋体"/>
          <w:sz w:val="24"/>
        </w:rPr>
        <w:t>4.有关年月日等日期的填写，应当按照国标</w:t>
      </w:r>
      <w:r>
        <w:rPr>
          <w:rFonts w:ascii="宋体" w:hAnsi="宋体"/>
          <w:sz w:val="24"/>
        </w:rPr>
        <w:t>GB/T 7408</w:t>
      </w:r>
      <w:r>
        <w:rPr>
          <w:rFonts w:hint="eastAsia" w:ascii="宋体" w:hAnsi="宋体"/>
          <w:sz w:val="24"/>
        </w:rPr>
        <w:t>—</w:t>
      </w:r>
      <w:r>
        <w:rPr>
          <w:rFonts w:ascii="宋体" w:hAnsi="宋体"/>
          <w:sz w:val="24"/>
        </w:rPr>
        <w:t>94</w:t>
      </w:r>
      <w:r>
        <w:rPr>
          <w:rFonts w:hint="eastAsia" w:ascii="宋体" w:hAnsi="宋体"/>
          <w:sz w:val="24"/>
        </w:rPr>
        <w:t>《数据元和交换格式、信息交换、日期和时间表示法》规定的要求，一律用阿拉伯数字书写。如“</w:t>
      </w:r>
      <w:r>
        <w:rPr>
          <w:rFonts w:ascii="宋体" w:hAnsi="宋体"/>
          <w:sz w:val="24"/>
        </w:rPr>
        <w:t>20</w:t>
      </w:r>
      <w:r>
        <w:rPr>
          <w:rFonts w:hint="eastAsia" w:ascii="宋体" w:hAnsi="宋体"/>
          <w:sz w:val="24"/>
        </w:rPr>
        <w:t>17年1月1日”或“</w:t>
      </w:r>
      <w:r>
        <w:rPr>
          <w:rFonts w:ascii="宋体" w:hAnsi="宋体"/>
          <w:sz w:val="24"/>
        </w:rPr>
        <w:t>20</w:t>
      </w:r>
      <w:r>
        <w:rPr>
          <w:rFonts w:hint="eastAsia" w:ascii="宋体" w:hAnsi="宋体"/>
          <w:sz w:val="24"/>
        </w:rPr>
        <w:t>17-01-01”。</w:t>
      </w:r>
    </w:p>
    <w:p>
      <w:pPr>
        <w:pStyle w:val="3"/>
        <w:spacing w:after="0" w:line="440" w:lineRule="exact"/>
        <w:ind w:left="718" w:leftChars="342" w:right="457" w:rightChars="218" w:firstLine="593" w:firstLineChars="212"/>
      </w:pPr>
    </w:p>
    <w:p>
      <w:pPr>
        <w:pStyle w:val="3"/>
        <w:spacing w:after="0" w:line="440" w:lineRule="exact"/>
        <w:ind w:left="718" w:leftChars="342" w:right="457" w:rightChars="218" w:firstLine="593" w:firstLineChars="212"/>
      </w:pPr>
    </w:p>
    <w:p>
      <w:pPr>
        <w:pStyle w:val="3"/>
        <w:spacing w:after="0" w:line="440" w:lineRule="exact"/>
        <w:ind w:left="718" w:leftChars="342" w:right="457" w:rightChars="218" w:firstLine="593" w:firstLineChars="212"/>
      </w:pPr>
    </w:p>
    <w:p>
      <w:pPr>
        <w:pStyle w:val="3"/>
        <w:spacing w:after="0" w:line="360" w:lineRule="auto"/>
        <w:ind w:left="848" w:hanging="848"/>
        <w:jc w:val="center"/>
        <w:rPr>
          <w:b/>
          <w:bCs/>
          <w:sz w:val="44"/>
        </w:rPr>
      </w:pPr>
      <w:r>
        <w:rPr>
          <w:b/>
          <w:bCs/>
          <w:sz w:val="44"/>
        </w:rPr>
        <w:br w:type="page"/>
      </w:r>
      <w:r>
        <w:rPr>
          <w:rFonts w:hint="eastAsia"/>
          <w:b/>
          <w:bCs/>
          <w:sz w:val="44"/>
        </w:rPr>
        <w:t xml:space="preserve"> 本 科 毕 业 论</w:t>
      </w:r>
      <w:r>
        <w:rPr>
          <w:b/>
          <w:bCs/>
          <w:sz w:val="44"/>
        </w:rPr>
        <w:t xml:space="preserve"> </w:t>
      </w:r>
      <w:r>
        <w:rPr>
          <w:rFonts w:hint="eastAsia"/>
          <w:b/>
          <w:bCs/>
          <w:sz w:val="44"/>
        </w:rPr>
        <w:t>文（设 计）开 题 报 告</w:t>
      </w:r>
    </w:p>
    <w:tbl>
      <w:tblPr>
        <w:tblStyle w:val="8"/>
        <w:tblW w:w="920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02" w:type="dxa"/>
            <w:tcBorders>
              <w:top w:val="double" w:color="auto" w:sz="4" w:space="0"/>
              <w:left w:val="single" w:color="auto" w:sz="8" w:space="0"/>
              <w:bottom w:val="dashSmallGap" w:color="auto" w:sz="4" w:space="0"/>
              <w:right w:val="single" w:color="auto" w:sz="8" w:space="0"/>
            </w:tcBorders>
            <w:vAlign w:val="center"/>
          </w:tcPr>
          <w:p>
            <w:pPr>
              <w:pStyle w:val="3"/>
              <w:spacing w:before="62" w:beforeLines="20" w:after="0" w:line="320" w:lineRule="exact"/>
              <w:ind w:left="268" w:leftChars="128" w:firstLine="0" w:firstLineChars="0"/>
              <w:rPr>
                <w:b/>
              </w:rPr>
            </w:pPr>
            <w:r>
              <w:rPr>
                <w:b/>
              </w:rPr>
              <w:t>1</w:t>
            </w:r>
            <w:r>
              <w:rPr>
                <w:rFonts w:hint="eastAsia"/>
                <w:b/>
              </w:rPr>
              <w:t>．选题的意义与目的、文献综述与研究现状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7" w:hRule="atLeast"/>
        </w:trPr>
        <w:tc>
          <w:tcPr>
            <w:tcW w:w="9202" w:type="dxa"/>
            <w:tcBorders>
              <w:top w:val="double" w:color="auto" w:sz="4" w:space="0"/>
              <w:left w:val="single" w:color="auto" w:sz="8" w:space="0"/>
              <w:right w:val="single" w:color="auto" w:sz="8" w:space="0"/>
            </w:tcBorders>
          </w:tcPr>
          <w:p>
            <w:pPr>
              <w:pStyle w:val="3"/>
              <w:tabs>
                <w:tab w:val="left" w:pos="5355"/>
              </w:tabs>
              <w:spacing w:after="0" w:line="360" w:lineRule="auto"/>
              <w:ind w:left="0" w:firstLine="440" w:firstLineChars="200"/>
              <w:jc w:val="left"/>
              <w:rPr>
                <w:rFonts w:hint="eastAsia" w:ascii="宋体" w:hAnsi="宋体" w:eastAsia="宋体" w:cs="宋体"/>
                <w:b/>
                <w:bCs w:val="0"/>
                <w:sz w:val="22"/>
                <w:szCs w:val="22"/>
                <w:lang w:val="en-US" w:eastAsia="zh-CN"/>
              </w:rPr>
            </w:pPr>
            <w:r>
              <w:rPr>
                <w:rFonts w:hint="eastAsia" w:ascii="宋体" w:hAnsi="宋体" w:eastAsia="宋体" w:cs="宋体"/>
                <w:b/>
                <w:bCs w:val="0"/>
                <w:sz w:val="22"/>
                <w:szCs w:val="22"/>
              </w:rPr>
              <w:t>选题的意义</w:t>
            </w:r>
            <w:r>
              <w:rPr>
                <w:rFonts w:hint="eastAsia" w:ascii="宋体" w:hAnsi="宋体" w:eastAsia="宋体" w:cs="宋体"/>
                <w:b/>
                <w:bCs w:val="0"/>
                <w:sz w:val="22"/>
                <w:szCs w:val="22"/>
                <w:lang w:val="en-US" w:eastAsia="zh-CN"/>
              </w:rPr>
              <w:t>：</w:t>
            </w:r>
          </w:p>
          <w:p>
            <w:pPr>
              <w:pStyle w:val="3"/>
              <w:keepNext w:val="0"/>
              <w:keepLines w:val="0"/>
              <w:pageBreakBefore w:val="0"/>
              <w:widowControl w:val="0"/>
              <w:tabs>
                <w:tab w:val="left" w:pos="5355"/>
              </w:tabs>
              <w:kinsoku/>
              <w:wordWrap/>
              <w:overflowPunct/>
              <w:topLinePunct w:val="0"/>
              <w:autoSpaceDE/>
              <w:autoSpaceDN/>
              <w:bidi w:val="0"/>
              <w:adjustRightInd/>
              <w:snapToGrid/>
              <w:spacing w:after="0" w:line="440" w:lineRule="exact"/>
              <w:ind w:left="0" w:firstLine="480" w:firstLineChars="200"/>
              <w:jc w:val="left"/>
              <w:textAlignment w:val="auto"/>
              <w:rPr>
                <w:rFonts w:hint="eastAsia" w:ascii="宋体" w:hAnsi="宋体" w:eastAsia="宋体" w:cs="宋体"/>
                <w:b/>
                <w:bCs w:val="0"/>
                <w:sz w:val="22"/>
                <w:szCs w:val="22"/>
                <w:lang w:val="en-US" w:eastAsia="zh-CN"/>
              </w:rPr>
            </w:pPr>
            <w:r>
              <w:rPr>
                <w:rFonts w:hint="eastAsia" w:ascii="宋体" w:hAnsi="宋体" w:eastAsia="宋体" w:cs="宋体"/>
                <w:b w:val="0"/>
                <w:bCs/>
                <w:sz w:val="24"/>
                <w:szCs w:val="24"/>
                <w:lang w:val="en-US" w:eastAsia="zh-CN"/>
              </w:rPr>
              <w:t>应收账款是企业的重要资产，其管理涉及到企业的现金流和盈利能力。对于</w:t>
            </w:r>
            <w:r>
              <w:rPr>
                <w:rFonts w:hint="eastAsia" w:ascii="宋体" w:hAnsi="宋体" w:cs="宋体"/>
                <w:b w:val="0"/>
                <w:bCs/>
                <w:sz w:val="24"/>
                <w:szCs w:val="24"/>
                <w:lang w:val="en-US" w:eastAsia="zh-CN"/>
              </w:rPr>
              <w:t>万力轮胎公司</w:t>
            </w:r>
            <w:r>
              <w:rPr>
                <w:rFonts w:hint="eastAsia" w:ascii="宋体" w:hAnsi="宋体" w:eastAsia="宋体" w:cs="宋体"/>
                <w:b w:val="0"/>
                <w:bCs/>
                <w:sz w:val="24"/>
                <w:szCs w:val="24"/>
                <w:lang w:val="en-US" w:eastAsia="zh-CN"/>
              </w:rPr>
              <w:t>而言，进行应收账款风险管理研究具有重要的现实意义和经济价值。通过研究应收账款风险管理，可以帮助</w:t>
            </w:r>
            <w:r>
              <w:rPr>
                <w:rFonts w:hint="eastAsia" w:ascii="宋体" w:hAnsi="宋体" w:cs="宋体"/>
                <w:b w:val="0"/>
                <w:bCs/>
                <w:sz w:val="24"/>
                <w:szCs w:val="24"/>
                <w:lang w:val="en-US" w:eastAsia="zh-CN"/>
              </w:rPr>
              <w:t>万力轮胎公司</w:t>
            </w:r>
            <w:r>
              <w:rPr>
                <w:rFonts w:hint="eastAsia" w:ascii="宋体" w:hAnsi="宋体" w:eastAsia="宋体" w:cs="宋体"/>
                <w:b w:val="0"/>
                <w:bCs/>
                <w:sz w:val="24"/>
                <w:szCs w:val="24"/>
                <w:lang w:val="en-US" w:eastAsia="zh-CN"/>
              </w:rPr>
              <w:t>识别和评估潜在的风险因素，制定有效的管理策略，提高资金回收效率，降低坏账风险，增强企业的资金运营能力。应收账款风险管理的研究可以帮助</w:t>
            </w:r>
            <w:r>
              <w:rPr>
                <w:rFonts w:hint="eastAsia" w:ascii="宋体" w:hAnsi="宋体" w:cs="宋体"/>
                <w:b w:val="0"/>
                <w:bCs/>
                <w:sz w:val="24"/>
                <w:szCs w:val="24"/>
                <w:lang w:val="en-US" w:eastAsia="zh-CN"/>
              </w:rPr>
              <w:t>万力轮胎公司</w:t>
            </w:r>
            <w:r>
              <w:rPr>
                <w:rFonts w:hint="eastAsia" w:ascii="宋体" w:hAnsi="宋体" w:eastAsia="宋体" w:cs="宋体"/>
                <w:b w:val="0"/>
                <w:bCs/>
                <w:sz w:val="24"/>
                <w:szCs w:val="24"/>
                <w:lang w:val="en-US" w:eastAsia="zh-CN"/>
              </w:rPr>
              <w:t>及时发现和应对潜在的坏账风险，避免损失和经营困境的发生，保护企业的利益和财务稳定。通过深入研究应收账款风险管理问题，可以为</w:t>
            </w:r>
            <w:r>
              <w:rPr>
                <w:rFonts w:hint="eastAsia" w:ascii="宋体" w:hAnsi="宋体" w:cs="宋体"/>
                <w:b w:val="0"/>
                <w:bCs/>
                <w:sz w:val="24"/>
                <w:szCs w:val="24"/>
                <w:lang w:val="en-US" w:eastAsia="zh-CN"/>
              </w:rPr>
              <w:t>万力轮胎公司</w:t>
            </w:r>
            <w:r>
              <w:rPr>
                <w:rFonts w:hint="eastAsia" w:ascii="宋体" w:hAnsi="宋体" w:eastAsia="宋体" w:cs="宋体"/>
                <w:b w:val="0"/>
                <w:bCs/>
                <w:sz w:val="24"/>
                <w:szCs w:val="24"/>
                <w:lang w:val="en-US" w:eastAsia="zh-CN"/>
              </w:rPr>
              <w:t>提供有关优化经营决策的重要信息和建议。例如，合理设置信用额度、优化收款政策、加强合同管理等方面的策略可以提升企业的经营效益和竞争力。</w:t>
            </w:r>
          </w:p>
          <w:p>
            <w:pPr>
              <w:pStyle w:val="3"/>
              <w:tabs>
                <w:tab w:val="left" w:pos="5355"/>
              </w:tabs>
              <w:spacing w:after="0" w:line="360" w:lineRule="auto"/>
              <w:ind w:left="0" w:firstLine="440" w:firstLineChars="200"/>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选题的目的：</w:t>
            </w:r>
          </w:p>
          <w:p>
            <w:pPr>
              <w:pStyle w:val="3"/>
              <w:tabs>
                <w:tab w:val="left" w:pos="5355"/>
              </w:tabs>
              <w:spacing w:after="0" w:line="360" w:lineRule="auto"/>
              <w:ind w:left="0" w:firstLine="440" w:firstLineChars="200"/>
              <w:jc w:val="left"/>
              <w:rPr>
                <w:rFonts w:hint="eastAsia" w:ascii="宋体" w:hAnsi="宋体" w:eastAsia="宋体" w:cs="宋体"/>
                <w:b/>
                <w:bCs/>
                <w:sz w:val="22"/>
                <w:szCs w:val="22"/>
                <w:lang w:val="en-US" w:eastAsia="zh-CN"/>
              </w:rPr>
            </w:pPr>
            <w:r>
              <w:rPr>
                <w:rFonts w:hint="eastAsia" w:ascii="宋体" w:hAnsi="宋体" w:eastAsia="宋体" w:cs="宋体"/>
                <w:b w:val="0"/>
                <w:bCs w:val="0"/>
                <w:sz w:val="22"/>
                <w:szCs w:val="22"/>
                <w:lang w:val="en-US" w:eastAsia="zh-CN"/>
              </w:rPr>
              <w:t>通过对</w:t>
            </w:r>
            <w:r>
              <w:rPr>
                <w:rFonts w:hint="eastAsia" w:ascii="宋体" w:hAnsi="宋体" w:cs="宋体"/>
                <w:b w:val="0"/>
                <w:bCs w:val="0"/>
                <w:sz w:val="22"/>
                <w:szCs w:val="22"/>
                <w:lang w:val="en-US" w:eastAsia="zh-CN"/>
              </w:rPr>
              <w:t>万力轮胎公司</w:t>
            </w:r>
            <w:r>
              <w:rPr>
                <w:rFonts w:hint="eastAsia" w:ascii="宋体" w:hAnsi="宋体" w:eastAsia="宋体" w:cs="宋体"/>
                <w:b w:val="0"/>
                <w:bCs w:val="0"/>
                <w:sz w:val="22"/>
                <w:szCs w:val="22"/>
                <w:lang w:val="en-US" w:eastAsia="zh-CN"/>
              </w:rPr>
              <w:t>的应收账款风险进行研究，目的是提供风险管理策略和建议，帮助公司有效控制和降低应收账款风险，提升财务稳定性和经营效率。</w:t>
            </w:r>
            <w:r>
              <w:rPr>
                <w:rFonts w:hint="eastAsia" w:ascii="宋体" w:hAnsi="宋体" w:cs="宋体"/>
                <w:b w:val="0"/>
                <w:bCs w:val="0"/>
                <w:sz w:val="22"/>
                <w:szCs w:val="22"/>
                <w:lang w:val="en-US" w:eastAsia="zh-CN"/>
              </w:rPr>
              <w:t>同时，可以</w:t>
            </w:r>
            <w:r>
              <w:rPr>
                <w:rFonts w:hint="eastAsia" w:ascii="宋体" w:hAnsi="宋体" w:eastAsia="宋体" w:cs="宋体"/>
                <w:b w:val="0"/>
                <w:bCs w:val="0"/>
                <w:sz w:val="22"/>
                <w:szCs w:val="22"/>
                <w:lang w:val="en-US" w:eastAsia="zh-CN"/>
              </w:rPr>
              <w:t>根据评估的结果，制定适合</w:t>
            </w:r>
            <w:r>
              <w:rPr>
                <w:rFonts w:hint="eastAsia" w:ascii="宋体" w:hAnsi="宋体" w:cs="宋体"/>
                <w:b w:val="0"/>
                <w:bCs w:val="0"/>
                <w:sz w:val="22"/>
                <w:szCs w:val="22"/>
                <w:lang w:val="en-US" w:eastAsia="zh-CN"/>
              </w:rPr>
              <w:t>万力轮胎公司</w:t>
            </w:r>
            <w:r>
              <w:rPr>
                <w:rFonts w:hint="eastAsia" w:ascii="宋体" w:hAnsi="宋体" w:eastAsia="宋体" w:cs="宋体"/>
                <w:b w:val="0"/>
                <w:bCs w:val="0"/>
                <w:sz w:val="22"/>
                <w:szCs w:val="22"/>
                <w:lang w:val="en-US" w:eastAsia="zh-CN"/>
              </w:rPr>
              <w:t>的风险管理策略和措施。这可能包括完善客户信用评估流程、建立应收账款催收机制、优化财务管理流程等。这些策略旨在帮助公司降低风险，提升财务稳定性和经营效率。该研究可以帮助</w:t>
            </w:r>
            <w:r>
              <w:rPr>
                <w:rFonts w:hint="eastAsia" w:ascii="宋体" w:hAnsi="宋体" w:cs="宋体"/>
                <w:b w:val="0"/>
                <w:bCs w:val="0"/>
                <w:sz w:val="22"/>
                <w:szCs w:val="22"/>
                <w:lang w:val="en-US" w:eastAsia="zh-CN"/>
              </w:rPr>
              <w:t>万力轮胎公司</w:t>
            </w:r>
            <w:r>
              <w:rPr>
                <w:rFonts w:hint="eastAsia" w:ascii="宋体" w:hAnsi="宋体" w:eastAsia="宋体" w:cs="宋体"/>
                <w:b w:val="0"/>
                <w:bCs w:val="0"/>
                <w:sz w:val="22"/>
                <w:szCs w:val="22"/>
                <w:lang w:val="en-US" w:eastAsia="zh-CN"/>
              </w:rPr>
              <w:t>优化财务管理流程，提升企业竞争力，同时对其他企业在应收账款风险管理方面也具有借鉴意义。</w:t>
            </w:r>
          </w:p>
          <w:p>
            <w:pPr>
              <w:pStyle w:val="3"/>
              <w:tabs>
                <w:tab w:val="left" w:pos="5355"/>
              </w:tabs>
              <w:spacing w:after="0" w:line="360" w:lineRule="auto"/>
              <w:ind w:left="0" w:firstLine="440" w:firstLineChars="200"/>
              <w:jc w:val="left"/>
              <w:rPr>
                <w:rFonts w:hint="eastAsia" w:ascii="宋体" w:hAnsi="宋体" w:cs="宋体"/>
                <w:b/>
                <w:bCs/>
                <w:sz w:val="22"/>
                <w:szCs w:val="22"/>
                <w:lang w:val="en-US" w:eastAsia="zh-CN"/>
              </w:rPr>
            </w:pPr>
            <w:r>
              <w:rPr>
                <w:rFonts w:hint="eastAsia" w:ascii="宋体" w:hAnsi="宋体" w:eastAsia="宋体" w:cs="宋体"/>
                <w:b/>
                <w:bCs/>
                <w:sz w:val="22"/>
                <w:szCs w:val="22"/>
                <w:lang w:val="en-US" w:eastAsia="zh-CN"/>
              </w:rPr>
              <w:t>研究现状</w:t>
            </w:r>
            <w:r>
              <w:rPr>
                <w:rFonts w:hint="eastAsia" w:ascii="宋体" w:hAnsi="宋体" w:cs="宋体"/>
                <w:b/>
                <w:bCs/>
                <w:sz w:val="22"/>
                <w:szCs w:val="22"/>
                <w:lang w:val="en-US" w:eastAsia="zh-CN"/>
              </w:rPr>
              <w:t>：</w:t>
            </w:r>
          </w:p>
          <w:p>
            <w:pPr>
              <w:pStyle w:val="13"/>
              <w:bidi w:val="0"/>
              <w:rPr>
                <w:rFonts w:hint="eastAsia"/>
                <w:lang w:val="en-US" w:eastAsia="zh-CN"/>
              </w:rPr>
            </w:pPr>
            <w:r>
              <w:rPr>
                <w:rFonts w:hint="eastAsia"/>
                <w:lang w:val="en-US" w:eastAsia="zh-CN"/>
              </w:rPr>
              <w:t>国内学者燕南彤指出，当前我国经济发展迅速,企业之间的竞争也愈演愈烈,采用赊销的方式来扩大市场份额、提高企业效益似乎是大部分企业的选择。赊销除了帮助企业扩大销售外,同时也增加了企业的债权,即应收账款规模也随之扩大,应收账款在企业财务报表中为速动资产,其流动性仅低于货币资金,一旦应收账款未按期收回,直接影响到企业资金的周转,不仅使企业经营中出现资金不足的困难,还给企业正常生产经营带来了风险。</w:t>
            </w:r>
          </w:p>
          <w:p>
            <w:pPr>
              <w:pStyle w:val="13"/>
              <w:bidi w:val="0"/>
              <w:rPr>
                <w:rFonts w:hint="default"/>
                <w:lang w:val="en-US" w:eastAsia="zh-CN"/>
              </w:rPr>
            </w:pPr>
            <w:r>
              <w:rPr>
                <w:rFonts w:hint="eastAsia"/>
                <w:lang w:val="en-US" w:eastAsia="zh-CN"/>
              </w:rPr>
              <w:t>国外一些学者指出，应收账款是企业在正常的经营过程中因销售商品、产品、提供劳务等业务,应向购买单位收取的款项。应收账款作为企业营运资金的一项重要组成部分,合理运用可以支撑企业发展,运用不当则会降低企业资金的使用率,出现资金运转困难,而后倒闭。我国市场经济起步较晚,国内企业对于应收账款的风险管理与国外优秀企业相比仍存在不小的差距,虽然各个企业都在不断完善自身的财务制度,但就目前的结果来看,众多企业的应收账款风险管理仍存在较多可以提升改进的方面。</w:t>
            </w:r>
          </w:p>
          <w:p>
            <w:pPr>
              <w:pStyle w:val="3"/>
              <w:spacing w:after="0" w:line="360" w:lineRule="auto"/>
              <w:ind w:left="0" w:firstLine="0" w:firstLineChars="0"/>
              <w:jc w:val="left"/>
              <w:rPr>
                <w:sz w:val="24"/>
              </w:rPr>
            </w:pPr>
          </w:p>
        </w:tc>
      </w:tr>
    </w:tbl>
    <w:p>
      <w:pPr>
        <w:rPr>
          <w:vanish/>
        </w:rPr>
        <w:sectPr>
          <w:footerReference r:id="rId3" w:type="default"/>
          <w:footerReference r:id="rId4" w:type="even"/>
          <w:pgSz w:w="11906" w:h="16838"/>
          <w:pgMar w:top="1440" w:right="1134" w:bottom="1440" w:left="1418" w:header="851" w:footer="992" w:gutter="0"/>
          <w:pgNumType w:fmt="decimal" w:start="0" w:chapSep="hyphen"/>
          <w:cols w:space="425" w:num="1"/>
          <w:titlePg/>
          <w:docGrid w:type="linesAndChars" w:linePitch="312" w:charSpace="0"/>
        </w:sectPr>
      </w:pPr>
    </w:p>
    <w:p>
      <w:pPr>
        <w:rPr>
          <w:vanish/>
        </w:rPr>
      </w:pPr>
    </w:p>
    <w:tbl>
      <w:tblPr>
        <w:tblStyle w:val="8"/>
        <w:tblpPr w:leftFromText="180" w:rightFromText="180" w:vertAnchor="text" w:horzAnchor="margin" w:tblpY="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464" w:type="dxa"/>
            <w:tcBorders>
              <w:top w:val="double" w:color="auto" w:sz="4" w:space="0"/>
              <w:left w:val="single" w:color="auto" w:sz="8" w:space="0"/>
              <w:bottom w:val="dashSmallGap" w:color="auto" w:sz="4" w:space="0"/>
              <w:right w:val="single" w:color="auto" w:sz="8" w:space="0"/>
            </w:tcBorders>
          </w:tcPr>
          <w:p>
            <w:pPr>
              <w:pStyle w:val="3"/>
              <w:spacing w:before="156" w:beforeLines="50" w:after="0"/>
              <w:ind w:left="210" w:leftChars="100" w:firstLine="0" w:firstLineChars="0"/>
              <w:jc w:val="left"/>
              <w:rPr>
                <w:b/>
              </w:rPr>
            </w:pPr>
            <w:r>
              <w:rPr>
                <w:rFonts w:hint="eastAsia"/>
                <w:b/>
              </w:rPr>
              <w:t>2. 研究思路、研究方法与论文提纲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dashSmallGap" w:color="auto" w:sz="4" w:space="0"/>
              <w:left w:val="single" w:color="auto" w:sz="8" w:space="0"/>
              <w:right w:val="single" w:color="auto" w:sz="8" w:space="0"/>
            </w:tcBorders>
          </w:tcPr>
          <w:p>
            <w:pPr>
              <w:pStyle w:val="3"/>
              <w:spacing w:before="156" w:beforeLines="50" w:after="0" w:line="360" w:lineRule="auto"/>
              <w:ind w:left="0" w:firstLine="480" w:firstLineChars="200"/>
              <w:jc w:val="left"/>
              <w:rPr>
                <w:rFonts w:hint="eastAsia" w:ascii="宋体" w:hAnsi="宋体"/>
                <w:color w:val="000000" w:themeColor="text1"/>
                <w:sz w:val="24"/>
                <w:lang w:eastAsia="zh-CN"/>
              </w:rPr>
            </w:pPr>
            <w:r>
              <w:rPr>
                <w:rFonts w:hint="eastAsia" w:ascii="宋体" w:hAnsi="宋体"/>
                <w:color w:val="000000" w:themeColor="text1"/>
                <w:sz w:val="24"/>
                <w:lang w:eastAsia="zh-CN"/>
              </w:rPr>
              <w:t>研究方法：</w:t>
            </w:r>
          </w:p>
          <w:p>
            <w:pPr>
              <w:pStyle w:val="3"/>
              <w:spacing w:before="156" w:beforeLines="50" w:after="0" w:line="360" w:lineRule="auto"/>
              <w:ind w:left="0" w:firstLine="480" w:firstLineChars="200"/>
              <w:jc w:val="left"/>
              <w:rPr>
                <w:rFonts w:hint="eastAsia" w:ascii="宋体" w:hAnsi="宋体"/>
                <w:color w:val="000000" w:themeColor="text1"/>
                <w:sz w:val="24"/>
                <w:lang w:eastAsia="zh-CN"/>
              </w:rPr>
            </w:pPr>
            <w:r>
              <w:rPr>
                <w:rFonts w:hint="eastAsia" w:ascii="宋体" w:hAnsi="宋体"/>
                <w:color w:val="000000" w:themeColor="text1"/>
                <w:sz w:val="24"/>
                <w:lang w:eastAsia="zh-CN"/>
              </w:rPr>
              <w:t>1.文献研究法。</w:t>
            </w:r>
          </w:p>
          <w:p>
            <w:pPr>
              <w:pStyle w:val="3"/>
              <w:spacing w:before="156" w:beforeLines="50" w:after="0" w:line="360" w:lineRule="auto"/>
              <w:ind w:left="0" w:firstLine="480" w:firstLineChars="200"/>
              <w:jc w:val="left"/>
              <w:rPr>
                <w:rFonts w:hint="eastAsia" w:ascii="宋体" w:hAnsi="宋体"/>
                <w:color w:val="000000" w:themeColor="text1"/>
                <w:sz w:val="24"/>
                <w:lang w:eastAsia="zh-CN"/>
              </w:rPr>
            </w:pPr>
            <w:r>
              <w:rPr>
                <w:rFonts w:hint="eastAsia" w:ascii="宋体" w:hAnsi="宋体"/>
                <w:color w:val="000000" w:themeColor="text1"/>
                <w:sz w:val="24"/>
                <w:lang w:eastAsia="zh-CN"/>
              </w:rPr>
              <w:t>通过收集、整理文献资料，借鉴国内外相关的研究成果。一是为本文提供理论依据，二是借鉴前人的研究成果，为及时有效找到切合实际的思路与办法。</w:t>
            </w:r>
          </w:p>
          <w:p>
            <w:pPr>
              <w:pStyle w:val="3"/>
              <w:spacing w:before="156" w:beforeLines="50" w:after="0" w:line="360" w:lineRule="auto"/>
              <w:ind w:left="0" w:firstLine="480" w:firstLineChars="200"/>
              <w:jc w:val="left"/>
              <w:rPr>
                <w:rFonts w:hint="eastAsia" w:ascii="宋体" w:hAnsi="宋体"/>
                <w:color w:val="000000" w:themeColor="text1"/>
                <w:sz w:val="24"/>
                <w:lang w:eastAsia="zh-CN"/>
              </w:rPr>
            </w:pPr>
            <w:r>
              <w:rPr>
                <w:rFonts w:hint="eastAsia" w:ascii="宋体" w:hAnsi="宋体"/>
                <w:color w:val="000000" w:themeColor="text1"/>
                <w:sz w:val="24"/>
                <w:lang w:eastAsia="zh-CN"/>
              </w:rPr>
              <w:t>2.比较分析法</w:t>
            </w:r>
          </w:p>
          <w:p>
            <w:pPr>
              <w:pStyle w:val="3"/>
              <w:spacing w:before="156" w:beforeLines="50" w:after="0" w:line="360" w:lineRule="auto"/>
              <w:ind w:left="0" w:firstLine="480" w:firstLineChars="200"/>
              <w:jc w:val="left"/>
              <w:rPr>
                <w:rFonts w:hint="eastAsia" w:ascii="宋体" w:hAnsi="宋体"/>
                <w:color w:val="000000" w:themeColor="text1"/>
                <w:sz w:val="24"/>
                <w:lang w:eastAsia="zh-CN"/>
              </w:rPr>
            </w:pPr>
            <w:r>
              <w:rPr>
                <w:rFonts w:hint="eastAsia" w:ascii="宋体" w:hAnsi="宋体"/>
                <w:color w:val="000000" w:themeColor="text1"/>
                <w:sz w:val="24"/>
                <w:lang w:eastAsia="zh-CN"/>
              </w:rPr>
              <w:t>对相关的国内外的文献进行归类、比较、分析和总结。</w:t>
            </w:r>
          </w:p>
          <w:p>
            <w:pPr>
              <w:pStyle w:val="3"/>
              <w:spacing w:before="156" w:beforeLines="50" w:after="0" w:line="360" w:lineRule="auto"/>
              <w:ind w:left="0" w:firstLine="480" w:firstLineChars="200"/>
              <w:jc w:val="left"/>
              <w:rPr>
                <w:rFonts w:hint="eastAsia" w:ascii="宋体" w:hAnsi="宋体"/>
                <w:color w:val="000000" w:themeColor="text1"/>
                <w:sz w:val="24"/>
                <w:lang w:eastAsia="zh-CN"/>
              </w:rPr>
            </w:pPr>
            <w:r>
              <w:rPr>
                <w:rFonts w:hint="eastAsia" w:ascii="宋体" w:hAnsi="宋体"/>
                <w:color w:val="000000" w:themeColor="text1"/>
                <w:sz w:val="24"/>
                <w:lang w:eastAsia="zh-CN"/>
              </w:rPr>
              <w:t>研究思路：</w:t>
            </w:r>
          </w:p>
          <w:p>
            <w:pPr>
              <w:pStyle w:val="3"/>
              <w:spacing w:before="156" w:beforeLines="50" w:after="0" w:line="360" w:lineRule="auto"/>
              <w:ind w:left="0" w:firstLine="480" w:firstLineChars="200"/>
              <w:jc w:val="left"/>
              <w:rPr>
                <w:rFonts w:hint="eastAsia" w:ascii="宋体" w:hAnsi="宋体"/>
                <w:color w:val="000000" w:themeColor="text1"/>
                <w:sz w:val="24"/>
                <w:lang w:eastAsia="zh-CN"/>
              </w:rPr>
            </w:pPr>
            <w:r>
              <w:rPr>
                <w:rFonts w:hint="eastAsia" w:ascii="宋体" w:hAnsi="宋体"/>
                <w:color w:val="000000" w:themeColor="text1"/>
                <w:sz w:val="24"/>
                <w:lang w:eastAsia="zh-CN"/>
              </w:rPr>
              <w:t>查阅资料 -&gt; 整理资料 -&gt; 研究设计方案得出结论 -&gt; 导师审阅 -&gt; 修正</w:t>
            </w:r>
          </w:p>
          <w:p>
            <w:pPr>
              <w:pStyle w:val="3"/>
              <w:spacing w:before="156" w:beforeLines="50" w:after="0" w:line="360" w:lineRule="auto"/>
              <w:ind w:left="0" w:firstLine="480" w:firstLineChars="200"/>
              <w:jc w:val="left"/>
              <w:rPr>
                <w:rFonts w:hint="eastAsia" w:ascii="宋体" w:hAnsi="宋体"/>
                <w:color w:val="000000" w:themeColor="text1"/>
                <w:sz w:val="24"/>
                <w:lang w:eastAsia="zh-CN"/>
              </w:rPr>
            </w:pPr>
            <w:r>
              <w:rPr>
                <w:rFonts w:hint="eastAsia" w:ascii="宋体" w:hAnsi="宋体"/>
                <w:color w:val="000000" w:themeColor="text1"/>
                <w:sz w:val="24"/>
                <w:lang w:eastAsia="zh-CN"/>
              </w:rPr>
              <w:t>提纲：</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1引言</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1.1研究背景</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1.2研究意义</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1.3研究方法</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2应收账款风险管理概述</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2.1相关理论和模型</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2.2前人研究成果总结</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2.3存在的研究空白和问题</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 xml:space="preserve">3 </w:t>
            </w:r>
            <w:r>
              <w:rPr>
                <w:rFonts w:hint="eastAsia" w:ascii="宋体" w:hAnsi="宋体"/>
                <w:color w:val="000000" w:themeColor="text1"/>
                <w:sz w:val="24"/>
                <w:lang w:eastAsia="zh-CN"/>
              </w:rPr>
              <w:t>万力轮胎公司</w:t>
            </w:r>
            <w:r>
              <w:rPr>
                <w:rFonts w:hint="eastAsia" w:ascii="宋体" w:hAnsi="宋体"/>
                <w:color w:val="000000" w:themeColor="text1"/>
                <w:sz w:val="24"/>
              </w:rPr>
              <w:t>现状调查分析</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 xml:space="preserve">4 </w:t>
            </w:r>
            <w:r>
              <w:rPr>
                <w:rFonts w:hint="eastAsia" w:ascii="宋体" w:hAnsi="宋体"/>
                <w:color w:val="000000" w:themeColor="text1"/>
                <w:sz w:val="24"/>
                <w:lang w:eastAsia="zh-CN"/>
              </w:rPr>
              <w:t>万力轮胎公司</w:t>
            </w:r>
            <w:r>
              <w:rPr>
                <w:rFonts w:hint="eastAsia" w:ascii="宋体" w:hAnsi="宋体"/>
                <w:color w:val="000000" w:themeColor="text1"/>
                <w:sz w:val="24"/>
              </w:rPr>
              <w:t>应收账款风险管理问题</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4.1 不完善的风险评估体系</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4.2 缺乏有效的合同与条款管理</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4.3 薄弱的风险监控与预警机制</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4.4 过度依赖少数大客户</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5 影响</w:t>
            </w:r>
            <w:r>
              <w:rPr>
                <w:rFonts w:hint="eastAsia" w:ascii="宋体" w:hAnsi="宋体"/>
                <w:color w:val="000000" w:themeColor="text1"/>
                <w:sz w:val="24"/>
                <w:lang w:eastAsia="zh-CN"/>
              </w:rPr>
              <w:t>万力轮胎公司</w:t>
            </w:r>
            <w:r>
              <w:rPr>
                <w:rFonts w:hint="eastAsia" w:ascii="宋体" w:hAnsi="宋体"/>
                <w:color w:val="000000" w:themeColor="text1"/>
                <w:sz w:val="24"/>
              </w:rPr>
              <w:t>应收账款风险管理原因分析</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5.1 不完善的风险评估流程</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5.2 不完善的合同管理流程</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5.3 缺乏有效的风险监控工具和系统</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5.4 缺乏市场竞争力</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6 加强</w:t>
            </w:r>
            <w:r>
              <w:rPr>
                <w:rFonts w:hint="eastAsia" w:ascii="宋体" w:hAnsi="宋体"/>
                <w:color w:val="000000" w:themeColor="text1"/>
                <w:sz w:val="24"/>
                <w:lang w:eastAsia="zh-CN"/>
              </w:rPr>
              <w:t>万力轮胎公司</w:t>
            </w:r>
            <w:r>
              <w:rPr>
                <w:rFonts w:hint="eastAsia" w:ascii="宋体" w:hAnsi="宋体"/>
                <w:color w:val="000000" w:themeColor="text1"/>
                <w:sz w:val="24"/>
              </w:rPr>
              <w:t>应收账款风险管理的策略</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6.1 设计科学的风险评估流程</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6.2 建立完善的合同管理流程</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6.3 建立完善的风险监控体系</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6.4  提升市场竞争力减少对少数大客户的依赖</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7 结论</w:t>
            </w:r>
          </w:p>
          <w:p>
            <w:pPr>
              <w:pStyle w:val="3"/>
              <w:spacing w:before="156" w:beforeLines="50" w:after="0" w:line="360" w:lineRule="auto"/>
              <w:ind w:left="0" w:firstLine="480" w:firstLineChars="200"/>
              <w:jc w:val="left"/>
              <w:rPr>
                <w:rFonts w:ascii="宋体" w:hAnsi="宋体"/>
                <w:color w:val="000000" w:themeColor="text1"/>
                <w:sz w:val="24"/>
              </w:rPr>
            </w:pPr>
            <w:r>
              <w:rPr>
                <w:rFonts w:hint="eastAsia" w:ascii="宋体" w:hAnsi="宋体"/>
                <w:color w:val="000000" w:themeColor="text1"/>
                <w:sz w:val="24"/>
              </w:rPr>
              <w:t>参考文献</w:t>
            </w:r>
          </w:p>
          <w:p>
            <w:pPr>
              <w:pStyle w:val="3"/>
              <w:spacing w:before="156" w:beforeLines="50" w:after="0"/>
              <w:ind w:left="0" w:firstLine="0" w:firstLineChars="0"/>
              <w:jc w:val="left"/>
              <w:rPr>
                <w:sz w:val="24"/>
              </w:rPr>
            </w:pPr>
          </w:p>
          <w:p>
            <w:pPr>
              <w:pStyle w:val="3"/>
              <w:spacing w:before="156" w:beforeLines="50" w:after="0"/>
              <w:ind w:left="0" w:firstLine="0" w:firstLineChars="0"/>
              <w:jc w:val="left"/>
              <w:rPr>
                <w:sz w:val="24"/>
              </w:rPr>
            </w:pPr>
          </w:p>
          <w:p>
            <w:pPr>
              <w:pStyle w:val="3"/>
              <w:spacing w:before="156" w:beforeLines="50" w:after="0"/>
              <w:ind w:left="0" w:firstLine="0" w:firstLineChars="0"/>
              <w:jc w:val="left"/>
              <w:rPr>
                <w:sz w:val="24"/>
              </w:rPr>
            </w:pPr>
          </w:p>
          <w:p>
            <w:pPr>
              <w:pStyle w:val="3"/>
              <w:spacing w:before="156" w:beforeLines="50" w:after="0"/>
              <w:ind w:left="0" w:firstLine="0" w:firstLineChars="0"/>
              <w:jc w:val="left"/>
              <w:rPr>
                <w:sz w:val="24"/>
              </w:rPr>
            </w:pPr>
          </w:p>
          <w:p>
            <w:pPr>
              <w:pStyle w:val="3"/>
              <w:spacing w:before="156" w:beforeLines="50" w:after="0"/>
              <w:ind w:left="0" w:firstLine="0" w:firstLineChars="0"/>
              <w:jc w:val="left"/>
              <w:rPr>
                <w:sz w:val="24"/>
              </w:rPr>
            </w:pPr>
          </w:p>
          <w:p>
            <w:pPr>
              <w:pStyle w:val="3"/>
              <w:spacing w:before="156" w:beforeLines="50" w:after="0"/>
              <w:ind w:left="0" w:firstLine="0" w:firstLineChars="0"/>
              <w:jc w:val="left"/>
              <w:rPr>
                <w:sz w:val="24"/>
              </w:rPr>
            </w:pPr>
          </w:p>
          <w:p>
            <w:pPr>
              <w:pStyle w:val="3"/>
              <w:spacing w:before="156" w:beforeLines="50" w:after="0"/>
              <w:ind w:left="0" w:firstLine="0" w:firstLineChars="0"/>
              <w:jc w:val="left"/>
              <w:rPr>
                <w:sz w:val="24"/>
              </w:rPr>
            </w:pPr>
          </w:p>
          <w:p>
            <w:pPr>
              <w:pStyle w:val="3"/>
              <w:spacing w:before="156" w:beforeLines="50" w:after="0"/>
              <w:ind w:left="0" w:firstLine="0" w:firstLineChars="0"/>
              <w:jc w:val="left"/>
              <w:rPr>
                <w:sz w:val="24"/>
              </w:rPr>
            </w:pPr>
          </w:p>
          <w:p>
            <w:pPr>
              <w:pStyle w:val="3"/>
              <w:spacing w:before="156" w:beforeLines="50" w:after="0"/>
              <w:ind w:left="0" w:firstLine="0" w:firstLineChars="0"/>
              <w:jc w:val="left"/>
              <w:rPr>
                <w:sz w:val="24"/>
              </w:rPr>
            </w:pPr>
          </w:p>
          <w:p>
            <w:pPr>
              <w:pStyle w:val="3"/>
              <w:spacing w:before="156" w:beforeLines="50" w:after="0"/>
              <w:ind w:left="0" w:firstLine="0" w:firstLineChars="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464" w:type="dxa"/>
            <w:tcBorders>
              <w:top w:val="double" w:color="auto" w:sz="4" w:space="0"/>
              <w:left w:val="single" w:color="auto" w:sz="8" w:space="0"/>
              <w:bottom w:val="dashSmallGap" w:color="auto" w:sz="4" w:space="0"/>
              <w:right w:val="single" w:color="auto" w:sz="8" w:space="0"/>
            </w:tcBorders>
          </w:tcPr>
          <w:p>
            <w:pPr>
              <w:pStyle w:val="3"/>
              <w:spacing w:before="156" w:beforeLines="50" w:after="0"/>
              <w:ind w:left="210" w:leftChars="100" w:firstLine="0" w:firstLineChars="0"/>
              <w:jc w:val="left"/>
              <w:rPr>
                <w:b/>
              </w:rPr>
            </w:pPr>
            <w:r>
              <w:rPr>
                <w:rFonts w:hint="eastAsia"/>
                <w:b/>
              </w:rPr>
              <w:t>3. 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trPr>
        <w:tc>
          <w:tcPr>
            <w:tcW w:w="9464" w:type="dxa"/>
            <w:tcBorders>
              <w:top w:val="dashSmallGap" w:color="auto" w:sz="4" w:space="0"/>
              <w:left w:val="single" w:color="auto" w:sz="8" w:space="0"/>
              <w:right w:val="single" w:color="auto" w:sz="8" w:space="0"/>
            </w:tcBorders>
          </w:tcPr>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第一稿交稿日期2023年8月14日</w:t>
            </w:r>
          </w:p>
          <w:p>
            <w:pPr>
              <w:pStyle w:val="3"/>
              <w:spacing w:before="156" w:beforeLines="50" w:after="0" w:line="360" w:lineRule="auto"/>
              <w:ind w:left="0" w:firstLine="480" w:firstLineChars="200"/>
              <w:jc w:val="left"/>
              <w:rPr>
                <w:rFonts w:hint="eastAsia" w:ascii="宋体" w:hAnsi="宋体"/>
                <w:color w:val="000000" w:themeColor="text1"/>
                <w:sz w:val="24"/>
              </w:rPr>
            </w:pPr>
            <w:r>
              <w:rPr>
                <w:rFonts w:hint="eastAsia" w:ascii="宋体" w:hAnsi="宋体"/>
                <w:color w:val="000000" w:themeColor="text1"/>
                <w:sz w:val="24"/>
              </w:rPr>
              <w:t>第二稿交稿日期2023年8月30日</w:t>
            </w:r>
          </w:p>
          <w:p>
            <w:pPr>
              <w:pStyle w:val="3"/>
              <w:spacing w:before="156" w:beforeLines="50" w:after="0" w:line="360" w:lineRule="auto"/>
              <w:ind w:left="0" w:firstLine="480" w:firstLineChars="200"/>
              <w:jc w:val="left"/>
              <w:rPr>
                <w:rFonts w:ascii="宋体" w:hAnsi="宋体"/>
                <w:color w:val="000000" w:themeColor="text1"/>
                <w:sz w:val="24"/>
              </w:rPr>
            </w:pPr>
            <w:r>
              <w:rPr>
                <w:rFonts w:hint="eastAsia" w:ascii="宋体" w:hAnsi="宋体"/>
                <w:color w:val="000000" w:themeColor="text1"/>
                <w:sz w:val="24"/>
              </w:rPr>
              <w:t>第三稿交稿日期2023年9月20日</w:t>
            </w:r>
          </w:p>
          <w:p>
            <w:pPr>
              <w:pStyle w:val="3"/>
              <w:spacing w:before="156" w:beforeLines="50" w:after="0"/>
              <w:ind w:left="0" w:firstLine="0" w:firstLineChars="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464" w:type="dxa"/>
            <w:tcBorders>
              <w:top w:val="double" w:color="auto" w:sz="4" w:space="0"/>
              <w:left w:val="single" w:color="auto" w:sz="8" w:space="0"/>
              <w:bottom w:val="dashSmallGap" w:color="auto" w:sz="4" w:space="0"/>
              <w:right w:val="single" w:color="auto" w:sz="8" w:space="0"/>
            </w:tcBorders>
          </w:tcPr>
          <w:p>
            <w:pPr>
              <w:pStyle w:val="3"/>
              <w:spacing w:before="156" w:beforeLines="50" w:after="0"/>
              <w:ind w:left="210" w:leftChars="100" w:firstLine="0" w:firstLineChars="0"/>
              <w:jc w:val="left"/>
              <w:rPr>
                <w:b/>
              </w:rPr>
            </w:pPr>
            <w:r>
              <w:rPr>
                <w:rFonts w:hint="eastAsia"/>
                <w:b/>
              </w:rPr>
              <w:t>4. 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9464" w:type="dxa"/>
            <w:tcBorders>
              <w:top w:val="dashSmallGap" w:color="auto" w:sz="4" w:space="0"/>
              <w:left w:val="single" w:color="auto" w:sz="8" w:space="0"/>
              <w:right w:val="single" w:color="auto" w:sz="8" w:space="0"/>
            </w:tcBorders>
          </w:tcPr>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[1]尚玉玉. JY公司应收账款风险管理研究[D].西安石油大学,2022.</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[2]孙莹. L公司应收账款风险管理研究[D].长春工业大学,2022.</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[3]谢辉. SJ公司应收账款风险管理研究[D].贵州大学,2022.</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[4]燕南彤. G公司应收账款风险管理研究[D].太原理工大学,2022.</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[5]李成云,尚明莉. A公司应收账款风险管理研究[J]. 中国管理信息化,2021,24(21):64-66.</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[6]王凯鸽. A公司应收账款风险管理研究[D].西安理工大学,2021.</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[7]邹成. Z公司应收账款风险管理研究[D].西安石油大学,2021.</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[8]彭伟. 应收账款风险管理研究——以四川LM公司为例[J]. 中国管理信息化,2021,24(11):4-5.</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[9]朱勇. B公司应收账款风险管理研究[D].东北石油大学,2021.</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[10]刘毅婧. XY钢铁公司应收账款风险管理优化研究[D].江西财经大学,2020.</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[11]王亚楠. 基于HH公司发展战略的应收账款风险管理研究[J]. 财富时代,2020,(08):75-76.</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[12]赵阳. D公司应收账款风险管理研究[D].西北大学,2020.</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[13]薛飞. N农化公司应收账款风险管理研究[D].西安石油大学,2020.</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[14]陈彦琳. Q公司应收账款风险管理研究[D].长沙理工大学,2020.</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黑体"/>
                <w:kern w:val="0"/>
                <w:sz w:val="24"/>
                <w:szCs w:val="24"/>
              </w:rPr>
            </w:pPr>
            <w:r>
              <w:rPr>
                <w:rFonts w:hint="eastAsia" w:ascii="宋体" w:hAnsi="宋体" w:cs="黑体"/>
                <w:kern w:val="0"/>
                <w:sz w:val="24"/>
                <w:szCs w:val="24"/>
              </w:rPr>
              <w:t>[15]卢雪倩. S医药公司应收账款风险管理研究[D].长春理工大学,2020.</w:t>
            </w:r>
          </w:p>
          <w:p>
            <w:pPr>
              <w:autoSpaceDE w:val="0"/>
              <w:autoSpaceDN w:val="0"/>
              <w:adjustRightInd w:val="0"/>
              <w:ind w:firstLine="420" w:firstLineChars="200"/>
              <w:jc w:val="left"/>
              <w:rPr>
                <w:rFonts w:ascii="宋体" w:hAnsi="宋体" w:cs="黑体"/>
                <w:kern w:val="0"/>
                <w:szCs w:val="21"/>
              </w:rPr>
            </w:pPr>
          </w:p>
          <w:p>
            <w:pPr>
              <w:pStyle w:val="3"/>
              <w:spacing w:before="156" w:beforeLines="50" w:after="0"/>
              <w:ind w:left="0" w:firstLine="0" w:firstLineChars="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464" w:type="dxa"/>
            <w:tcBorders>
              <w:top w:val="double" w:color="auto" w:sz="4" w:space="0"/>
              <w:left w:val="single" w:color="auto" w:sz="8" w:space="0"/>
              <w:bottom w:val="dashSmallGap" w:color="auto" w:sz="4" w:space="0"/>
              <w:right w:val="single" w:color="auto" w:sz="8" w:space="0"/>
            </w:tcBorders>
          </w:tcPr>
          <w:p>
            <w:pPr>
              <w:pStyle w:val="3"/>
              <w:spacing w:before="156" w:beforeLines="50" w:after="0"/>
              <w:ind w:left="210" w:leftChars="100" w:firstLine="0" w:firstLineChars="0"/>
              <w:jc w:val="left"/>
              <w:rPr>
                <w:b/>
              </w:rPr>
            </w:pPr>
            <w:r>
              <w:rPr>
                <w:rFonts w:hint="eastAsia"/>
                <w:b/>
              </w:rPr>
              <w:t>5. 指导教师意见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dashSmallGap" w:color="auto" w:sz="4" w:space="0"/>
              <w:left w:val="single" w:color="auto" w:sz="8" w:space="0"/>
              <w:right w:val="single" w:color="auto" w:sz="8" w:space="0"/>
            </w:tcBorders>
          </w:tcPr>
          <w:p>
            <w:pPr>
              <w:pStyle w:val="3"/>
              <w:spacing w:before="156" w:beforeLines="50" w:after="0"/>
              <w:ind w:left="0" w:firstLine="0" w:firstLineChars="0"/>
              <w:jc w:val="left"/>
              <w:rPr>
                <w:sz w:val="24"/>
              </w:rPr>
            </w:pPr>
          </w:p>
          <w:p>
            <w:pPr>
              <w:pStyle w:val="3"/>
              <w:spacing w:before="156" w:beforeLines="50" w:after="0"/>
              <w:ind w:left="0" w:firstLine="0" w:firstLineChars="0"/>
              <w:jc w:val="left"/>
              <w:rPr>
                <w:sz w:val="24"/>
              </w:rPr>
            </w:pPr>
          </w:p>
          <w:p>
            <w:pPr>
              <w:pStyle w:val="3"/>
              <w:spacing w:before="156" w:beforeLines="50" w:after="0" w:line="480" w:lineRule="auto"/>
              <w:ind w:left="0" w:firstLine="0" w:firstLineChars="0"/>
              <w:jc w:val="right"/>
              <w:rPr>
                <w:sz w:val="24"/>
              </w:rPr>
            </w:pPr>
            <w:r>
              <w:rPr>
                <w:rFonts w:hint="eastAsia"/>
                <w:sz w:val="24"/>
              </w:rPr>
              <w:t>指导教师：__</w:t>
            </w:r>
            <w:r>
              <w:rPr>
                <w:rFonts w:hint="eastAsia"/>
                <w:sz w:val="24"/>
                <w:u w:val="single"/>
              </w:rPr>
              <w:t>___</w:t>
            </w:r>
            <w:r>
              <w:rPr>
                <w:rFonts w:hint="eastAsia"/>
                <w:sz w:val="24"/>
              </w:rPr>
              <w:t>________</w:t>
            </w:r>
            <w:r>
              <w:rPr>
                <w:rFonts w:hint="eastAsia"/>
                <w:color w:val="0070C0"/>
                <w:sz w:val="24"/>
              </w:rPr>
              <w:t>（手签）</w:t>
            </w:r>
          </w:p>
          <w:p>
            <w:pPr>
              <w:pStyle w:val="3"/>
              <w:spacing w:before="156" w:beforeLines="50" w:after="0"/>
              <w:ind w:left="0" w:firstLine="0" w:firstLineChars="0"/>
              <w:jc w:val="right"/>
              <w:rPr>
                <w:sz w:val="24"/>
              </w:rPr>
            </w:pPr>
            <w:r>
              <w:rPr>
                <w:rFonts w:hint="eastAsia"/>
                <w:sz w:val="24"/>
              </w:rPr>
              <w:t>20</w:t>
            </w:r>
            <w:r>
              <w:rPr>
                <w:sz w:val="24"/>
              </w:rPr>
              <w:t>2</w:t>
            </w:r>
            <w:r>
              <w:rPr>
                <w:rFonts w:hint="eastAsia"/>
                <w:sz w:val="24"/>
                <w:lang w:val="en-US" w:eastAsia="zh-CN"/>
              </w:rPr>
              <w:t>3</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c>
      </w:tr>
    </w:tbl>
    <w:p/>
    <w:sectPr>
      <w:pgSz w:w="11906" w:h="16838"/>
      <w:pgMar w:top="1440" w:right="1134" w:bottom="1440" w:left="1418" w:header="851" w:footer="992" w:gutter="0"/>
      <w:pgNumType w:fmt="decimal" w:start="0" w:chapSep="hyphen"/>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t xml:space="preserve">1PAGE  </w:t>
    </w:r>
    <w:r>
      <w:rPr>
        <w:rStyle w:val="10"/>
      </w:rPr>
      <w:fldChar w:fldCharType="begin"/>
    </w:r>
    <w:r>
      <w:rPr>
        <w:rStyle w:val="1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t xml:space="preserve">PAGE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A2M2Q0MjBkNGRiZmJiN2NmMmFlNDYwOTBiZWM5MWUifQ=="/>
  </w:docVars>
  <w:rsids>
    <w:rsidRoot w:val="001D168E"/>
    <w:rsid w:val="0001711C"/>
    <w:rsid w:val="00047DF4"/>
    <w:rsid w:val="00052646"/>
    <w:rsid w:val="00056B9F"/>
    <w:rsid w:val="00067857"/>
    <w:rsid w:val="000E67F7"/>
    <w:rsid w:val="00126073"/>
    <w:rsid w:val="0013027A"/>
    <w:rsid w:val="001A5BCA"/>
    <w:rsid w:val="001C4DE5"/>
    <w:rsid w:val="001D168E"/>
    <w:rsid w:val="001E4CE0"/>
    <w:rsid w:val="00244855"/>
    <w:rsid w:val="00265E7B"/>
    <w:rsid w:val="002B7495"/>
    <w:rsid w:val="002D6336"/>
    <w:rsid w:val="003066E1"/>
    <w:rsid w:val="003229BB"/>
    <w:rsid w:val="0033799B"/>
    <w:rsid w:val="00342D72"/>
    <w:rsid w:val="003435E9"/>
    <w:rsid w:val="003A105B"/>
    <w:rsid w:val="003F11CC"/>
    <w:rsid w:val="004013FE"/>
    <w:rsid w:val="00434EF3"/>
    <w:rsid w:val="0046173C"/>
    <w:rsid w:val="00461AD3"/>
    <w:rsid w:val="004B7064"/>
    <w:rsid w:val="004D5BE0"/>
    <w:rsid w:val="00520B0A"/>
    <w:rsid w:val="005305C4"/>
    <w:rsid w:val="00546ACB"/>
    <w:rsid w:val="005610E3"/>
    <w:rsid w:val="00583729"/>
    <w:rsid w:val="005A40B2"/>
    <w:rsid w:val="005C26D5"/>
    <w:rsid w:val="005D52EC"/>
    <w:rsid w:val="005D6A5B"/>
    <w:rsid w:val="00627BB2"/>
    <w:rsid w:val="00635822"/>
    <w:rsid w:val="0066049C"/>
    <w:rsid w:val="00673B3B"/>
    <w:rsid w:val="0069251C"/>
    <w:rsid w:val="006C3162"/>
    <w:rsid w:val="006F1086"/>
    <w:rsid w:val="006F5E85"/>
    <w:rsid w:val="00707B80"/>
    <w:rsid w:val="00727AE2"/>
    <w:rsid w:val="0073578A"/>
    <w:rsid w:val="00780628"/>
    <w:rsid w:val="007A23C8"/>
    <w:rsid w:val="00810BC6"/>
    <w:rsid w:val="008A1B3D"/>
    <w:rsid w:val="008A520C"/>
    <w:rsid w:val="008B261B"/>
    <w:rsid w:val="008C3CEF"/>
    <w:rsid w:val="00907469"/>
    <w:rsid w:val="00983E6D"/>
    <w:rsid w:val="009855E8"/>
    <w:rsid w:val="00A40D63"/>
    <w:rsid w:val="00A55D84"/>
    <w:rsid w:val="00A64A19"/>
    <w:rsid w:val="00A6626C"/>
    <w:rsid w:val="00AD681A"/>
    <w:rsid w:val="00AF2C96"/>
    <w:rsid w:val="00AF59D1"/>
    <w:rsid w:val="00B60D10"/>
    <w:rsid w:val="00B832FC"/>
    <w:rsid w:val="00B84708"/>
    <w:rsid w:val="00BC61A9"/>
    <w:rsid w:val="00C2253F"/>
    <w:rsid w:val="00C73B1F"/>
    <w:rsid w:val="00C87BD3"/>
    <w:rsid w:val="00CC30C4"/>
    <w:rsid w:val="00CC7339"/>
    <w:rsid w:val="00CE0B3C"/>
    <w:rsid w:val="00DB15AD"/>
    <w:rsid w:val="00DC4101"/>
    <w:rsid w:val="00DC760C"/>
    <w:rsid w:val="00E2355B"/>
    <w:rsid w:val="00E34B69"/>
    <w:rsid w:val="00E55637"/>
    <w:rsid w:val="00E85537"/>
    <w:rsid w:val="00F128CE"/>
    <w:rsid w:val="00F33EC9"/>
    <w:rsid w:val="00F934D4"/>
    <w:rsid w:val="00FC323F"/>
    <w:rsid w:val="00FD4660"/>
    <w:rsid w:val="00FF2FEE"/>
    <w:rsid w:val="01713189"/>
    <w:rsid w:val="05EA072C"/>
    <w:rsid w:val="0A124219"/>
    <w:rsid w:val="0B9A7A1D"/>
    <w:rsid w:val="0D4C64BB"/>
    <w:rsid w:val="0EDC478F"/>
    <w:rsid w:val="13AD2EFD"/>
    <w:rsid w:val="1B4A7AA2"/>
    <w:rsid w:val="21166E92"/>
    <w:rsid w:val="21A75142"/>
    <w:rsid w:val="23A73BF1"/>
    <w:rsid w:val="28725A5A"/>
    <w:rsid w:val="2AED09BF"/>
    <w:rsid w:val="2B681F2A"/>
    <w:rsid w:val="2F5A1FF3"/>
    <w:rsid w:val="40B6505F"/>
    <w:rsid w:val="4E415C96"/>
    <w:rsid w:val="525A6573"/>
    <w:rsid w:val="55751E16"/>
    <w:rsid w:val="5D9735C1"/>
    <w:rsid w:val="62004196"/>
    <w:rsid w:val="671A7D2A"/>
    <w:rsid w:val="6EBD1BFC"/>
    <w:rsid w:val="6FFC1A3C"/>
    <w:rsid w:val="76543F9D"/>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方正大标宋简体"/>
      <w:sz w:val="76"/>
    </w:rPr>
  </w:style>
  <w:style w:type="paragraph" w:styleId="3">
    <w:name w:val="Body Text Indent"/>
    <w:basedOn w:val="1"/>
    <w:link w:val="12"/>
    <w:qFormat/>
    <w:uiPriority w:val="0"/>
    <w:pPr>
      <w:spacing w:after="0" w:line="360" w:lineRule="exact"/>
      <w:ind w:left="538" w:hanging="538" w:hangingChars="192"/>
    </w:pPr>
    <w:rPr>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rPr>
      <w:color w:val="0000FF"/>
    </w:rPr>
  </w:style>
  <w:style w:type="character" w:styleId="10">
    <w:name w:val="page number"/>
    <w:basedOn w:val="9"/>
    <w:qFormat/>
    <w:uiPriority w:val="0"/>
  </w:style>
  <w:style w:type="character" w:customStyle="1" w:styleId="11">
    <w:name w:val="页眉 字符"/>
    <w:link w:val="6"/>
    <w:qFormat/>
    <w:uiPriority w:val="0"/>
    <w:rPr>
      <w:kern w:val="2"/>
      <w:sz w:val="18"/>
      <w:szCs w:val="18"/>
    </w:rPr>
  </w:style>
  <w:style w:type="character" w:customStyle="1" w:styleId="12">
    <w:name w:val="正文文本缩进 字符"/>
    <w:link w:val="3"/>
    <w:qFormat/>
    <w:uiPriority w:val="0"/>
    <w:rPr>
      <w:kern w:val="2"/>
      <w:sz w:val="28"/>
      <w:szCs w:val="24"/>
    </w:rPr>
  </w:style>
  <w:style w:type="paragraph" w:customStyle="1" w:styleId="13">
    <w:name w:val="qqA1"/>
    <w:basedOn w:val="1"/>
    <w:qFormat/>
    <w:uiPriority w:val="0"/>
    <w:pPr>
      <w:tabs>
        <w:tab w:val="left" w:pos="5355"/>
      </w:tabs>
      <w:spacing w:line="440" w:lineRule="exact"/>
      <w:ind w:firstLine="480" w:firstLineChars="200"/>
      <w:jc w:val="left"/>
    </w:pPr>
    <w:rPr>
      <w:rFonts w:hint="eastAsia" w:ascii="宋体" w:hAnsi="宋体" w:eastAsia="宋体" w:cs="宋体"/>
      <w:bCs/>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4F30-0B7C-B542-9648-CE7F2BCEFAA7}">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2186</Words>
  <Characters>2516</Characters>
  <Lines>6</Lines>
  <Paragraphs>1</Paragraphs>
  <TotalTime>1</TotalTime>
  <ScaleCrop>false</ScaleCrop>
  <LinksUpToDate>false</LinksUpToDate>
  <CharactersWithSpaces>2646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2021-05-19T00:31:00Z</dcterms:created>
  <dc:creator>读者</dc:creator>
  <cp:lastModifiedBy>Administrator</cp:lastModifiedBy>
  <cp:lastPrinted>2006-12-04T00:16:00Z</cp:lastPrinted>
  <dcterms:modified xsi:type="dcterms:W3CDTF">2023-07-13T09:53:42Z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2.3.0</vt:lpwstr>
  </property>
  <property fmtid="{D5CDD505-2E9C-101B-9397-08002B2CF9AE}" pid="4" name="KSOProductBuildVer">
    <vt:lpwstr>2052-11.1.0.14309</vt:lpwstr>
  </property>
  <property fmtid="{D5CDD505-2E9C-101B-9397-08002B2CF9AE}" pid="5" name="ICV">
    <vt:lpwstr>5882458C53F6401F9C5316A6B030C0FE</vt:lpwstr>
  </property>
</Properties>
</file>