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szCs w:val="21"/>
        </w:rPr>
      </w:pPr>
      <w:r>
        <w:rPr>
          <w:rFonts w:ascii="仿宋_GB2312" w:hAnsi="宋体" w:eastAsia="仿宋_GB2312"/>
          <w:szCs w:val="21"/>
        </w:rPr>
        <w:drawing>
          <wp:inline distT="0" distB="0" distL="0" distR="0">
            <wp:extent cx="4467225" cy="10083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22273" cy="1021400"/>
                    </a:xfrm>
                    <a:prstGeom prst="rect">
                      <a:avLst/>
                    </a:prstGeom>
                  </pic:spPr>
                </pic:pic>
              </a:graphicData>
            </a:graphic>
          </wp:inline>
        </w:drawing>
      </w:r>
    </w:p>
    <w:p>
      <w:pPr>
        <w:spacing w:before="166" w:beforeLines="50" w:after="166" w:afterLines="50"/>
        <w:ind w:left="420"/>
        <w:jc w:val="center"/>
        <w:rPr>
          <w:rFonts w:ascii="黑体" w:hAnsi="宋体" w:eastAsia="黑体"/>
          <w:b/>
          <w:sz w:val="44"/>
          <w:szCs w:val="44"/>
        </w:rPr>
      </w:pPr>
    </w:p>
    <w:p>
      <w:pPr>
        <w:pStyle w:val="2"/>
        <w:spacing w:line="360" w:lineRule="auto"/>
        <w:jc w:val="center"/>
        <w:rPr>
          <w:rFonts w:ascii="黑体" w:hAnsi="宋体" w:eastAsia="黑体"/>
          <w:szCs w:val="44"/>
        </w:rPr>
      </w:pPr>
      <w:bookmarkStart w:id="0" w:name="_Toc1134"/>
      <w:bookmarkStart w:id="1" w:name="_Toc9026"/>
      <w:bookmarkStart w:id="2" w:name="_高等教育自学考试"/>
      <w:r>
        <w:rPr>
          <w:rFonts w:hint="eastAsia" w:ascii="黑体" w:hAnsi="黑体" w:eastAsia="黑体" w:cs="黑体"/>
        </w:rPr>
        <w:t>高等教育自学考试</w:t>
      </w:r>
      <w:bookmarkEnd w:id="0"/>
      <w:bookmarkEnd w:id="1"/>
    </w:p>
    <w:bookmarkEnd w:id="2"/>
    <w:p>
      <w:pPr>
        <w:spacing w:before="333" w:beforeLines="100" w:after="333" w:afterLines="100"/>
        <w:ind w:right="-632" w:rightChars="-301"/>
        <w:jc w:val="center"/>
        <w:rPr>
          <w:rFonts w:ascii="黑体" w:hAnsi="宋体" w:eastAsia="黑体"/>
          <w:b/>
          <w:bCs/>
          <w:sz w:val="72"/>
        </w:rPr>
      </w:pPr>
      <w:r>
        <w:rPr>
          <w:rFonts w:hint="eastAsia" w:ascii="黑体" w:hAnsi="宋体" w:eastAsia="黑体"/>
          <w:b/>
          <w:bCs/>
          <w:sz w:val="72"/>
        </w:rPr>
        <w:t>毕业论文（设计）</w:t>
      </w:r>
    </w:p>
    <w:p>
      <w:pPr>
        <w:spacing w:line="500" w:lineRule="exact"/>
        <w:jc w:val="center"/>
        <w:rPr>
          <w:sz w:val="44"/>
          <w:szCs w:val="44"/>
        </w:rPr>
      </w:pPr>
    </w:p>
    <w:p>
      <w:pPr>
        <w:spacing w:line="360" w:lineRule="auto"/>
        <w:rPr>
          <w:sz w:val="44"/>
          <w:szCs w:val="44"/>
        </w:rPr>
      </w:pPr>
    </w:p>
    <w:p>
      <w:pPr>
        <w:spacing w:line="360" w:lineRule="auto"/>
        <w:jc w:val="center"/>
        <w:rPr>
          <w:rFonts w:ascii="黑体" w:eastAsia="黑体"/>
          <w:b/>
          <w:sz w:val="44"/>
          <w:szCs w:val="44"/>
          <w:u w:val="single"/>
        </w:rPr>
      </w:pPr>
      <w:r>
        <w:rPr>
          <w:rFonts w:hint="eastAsia" w:ascii="黑体" w:hAnsi="黑体" w:eastAsia="黑体" w:cs="黑体"/>
          <w:b/>
          <w:bCs/>
          <w:color w:val="000000" w:themeColor="text1"/>
          <w:sz w:val="44"/>
          <w:szCs w:val="44"/>
          <w:u w:val="single"/>
          <w14:textFill>
            <w14:solidFill>
              <w14:schemeClr w14:val="tx1"/>
            </w14:solidFill>
          </w14:textFill>
        </w:rPr>
        <w:t xml:space="preserve"> 广州番禺长隆重点开发项目建筑设计的研究 </w:t>
      </w:r>
    </w:p>
    <w:p>
      <w:pPr>
        <w:spacing w:line="360" w:lineRule="auto"/>
        <w:ind w:firstLine="1320" w:firstLineChars="550"/>
        <w:jc w:val="center"/>
        <w:rPr>
          <w:color w:val="00B050"/>
          <w:sz w:val="24"/>
        </w:rPr>
      </w:pPr>
    </w:p>
    <w:tbl>
      <w:tblPr>
        <w:tblStyle w:val="20"/>
        <w:tblpPr w:leftFromText="180" w:rightFromText="180" w:vertAnchor="text" w:horzAnchor="page" w:tblpXSpec="center" w:tblpY="267"/>
        <w:tblOverlap w:val="never"/>
        <w:tblW w:w="0" w:type="auto"/>
        <w:jc w:val="center"/>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645"/>
        <w:gridCol w:w="1279"/>
        <w:gridCol w:w="655"/>
        <w:gridCol w:w="862"/>
        <w:gridCol w:w="591"/>
        <w:gridCol w:w="913"/>
        <w:gridCol w:w="789"/>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45" w:type="dxa"/>
            <w:tcBorders>
              <w:bottom w:val="nil"/>
              <w:tl2br w:val="nil"/>
              <w:tr2bl w:val="nil"/>
            </w:tcBorders>
            <w:vAlign w:val="center"/>
          </w:tcPr>
          <w:p>
            <w:pPr>
              <w:snapToGrid w:val="0"/>
              <w:spacing w:before="333" w:beforeLines="100"/>
              <w:rPr>
                <w:rFonts w:ascii="楷体_GB2312"/>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办学单位：</w:t>
            </w:r>
          </w:p>
        </w:tc>
        <w:tc>
          <w:tcPr>
            <w:tcW w:w="5089" w:type="dxa"/>
            <w:gridSpan w:val="6"/>
            <w:tcBorders>
              <w:tl2br w:val="nil"/>
              <w:tr2bl w:val="nil"/>
            </w:tcBorders>
            <w:vAlign w:val="bottom"/>
          </w:tcPr>
          <w:p>
            <w:pPr>
              <w:snapToGrid w:val="0"/>
              <w:jc w:val="center"/>
              <w:rPr>
                <w:rFonts w:ascii="楷体_GB2312"/>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华南理工大学</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98" w:hRule="atLeast"/>
          <w:jc w:val="center"/>
        </w:trPr>
        <w:tc>
          <w:tcPr>
            <w:tcW w:w="1645" w:type="dxa"/>
            <w:tcBorders>
              <w:top w:val="nil"/>
              <w:bottom w:val="nil"/>
              <w:tl2br w:val="nil"/>
              <w:tr2bl w:val="nil"/>
            </w:tcBorders>
            <w:vAlign w:val="center"/>
          </w:tcPr>
          <w:p>
            <w:pPr>
              <w:snapToGrid w:val="0"/>
              <w:spacing w:before="333" w:beforeLines="100"/>
              <w:jc w:val="center"/>
              <w:rPr>
                <w:rFonts w:ascii="楷体_GB2312"/>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届</w:t>
            </w:r>
            <w:r>
              <w:rPr>
                <w:rFonts w:hint="eastAsia" w:ascii="宋体" w:hAnsi="宋体" w:cs="宋体"/>
                <w:bCs/>
                <w:color w:val="000000" w:themeColor="text1"/>
                <w:sz w:val="18"/>
                <w:szCs w:val="18"/>
                <w14:textFill>
                  <w14:solidFill>
                    <w14:schemeClr w14:val="tx1"/>
                  </w14:solidFill>
                </w14:textFill>
              </w:rPr>
              <w:t xml:space="preserve"> </w:t>
            </w:r>
            <w:r>
              <w:rPr>
                <w:rFonts w:hint="eastAsia" w:ascii="微软雅黑" w:hAnsi="微软雅黑" w:eastAsia="微软雅黑" w:cs="微软雅黑"/>
                <w:bCs/>
                <w:color w:val="000000" w:themeColor="text1"/>
                <w:sz w:val="18"/>
                <w:szCs w:val="18"/>
                <w14:textFill>
                  <w14:solidFill>
                    <w14:schemeClr w14:val="tx1"/>
                  </w14:solidFill>
                </w14:textFill>
              </w:rPr>
              <w:t>●</w:t>
            </w:r>
            <w:r>
              <w:rPr>
                <w:rFonts w:hint="eastAsia" w:ascii="宋体" w:hAnsi="宋体" w:cs="宋体"/>
                <w:b/>
                <w:color w:val="000000" w:themeColor="text1"/>
                <w:sz w:val="30"/>
                <w:szCs w:val="30"/>
                <w14:textFill>
                  <w14:solidFill>
                    <w14:schemeClr w14:val="tx1"/>
                  </w14:solidFill>
                </w14:textFill>
              </w:rPr>
              <w:t>专业：</w:t>
            </w:r>
          </w:p>
        </w:tc>
        <w:tc>
          <w:tcPr>
            <w:tcW w:w="5089" w:type="dxa"/>
            <w:gridSpan w:val="6"/>
            <w:tcBorders>
              <w:tl2br w:val="nil"/>
              <w:tr2bl w:val="nil"/>
            </w:tcBorders>
            <w:vAlign w:val="bottom"/>
          </w:tcPr>
          <w:p>
            <w:pPr>
              <w:snapToGrid w:val="0"/>
              <w:jc w:val="center"/>
              <w:rPr>
                <w:rFonts w:ascii="楷体_GB2312"/>
                <w:b/>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2023</w:t>
            </w:r>
            <w:r>
              <w:rPr>
                <w:rFonts w:hint="eastAsia" w:ascii="宋体" w:hAnsi="宋体" w:cs="宋体"/>
                <w:b/>
                <w:bCs/>
                <w:color w:val="000000" w:themeColor="text1"/>
                <w:sz w:val="30"/>
                <w:szCs w:val="30"/>
                <w14:textFill>
                  <w14:solidFill>
                    <w14:schemeClr w14:val="tx1"/>
                  </w14:solidFill>
                </w14:textFill>
              </w:rPr>
              <w:t>届工程管理</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45" w:type="dxa"/>
            <w:tcBorders>
              <w:top w:val="nil"/>
              <w:bottom w:val="nil"/>
              <w:tl2br w:val="nil"/>
              <w:tr2bl w:val="nil"/>
            </w:tcBorders>
            <w:vAlign w:val="center"/>
          </w:tcPr>
          <w:p>
            <w:pPr>
              <w:snapToGrid w:val="0"/>
              <w:spacing w:before="333" w:beforeLines="100"/>
              <w:rPr>
                <w:rFonts w:ascii="楷体_GB2312"/>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学    生：</w:t>
            </w:r>
          </w:p>
        </w:tc>
        <w:tc>
          <w:tcPr>
            <w:tcW w:w="5089" w:type="dxa"/>
            <w:gridSpan w:val="6"/>
            <w:tcBorders>
              <w:tl2br w:val="nil"/>
              <w:tr2bl w:val="nil"/>
            </w:tcBorders>
            <w:vAlign w:val="bottom"/>
          </w:tcPr>
          <w:p>
            <w:pPr>
              <w:snapToGrid w:val="0"/>
              <w:jc w:val="center"/>
              <w:rPr>
                <w:rFonts w:ascii="楷体_GB2312"/>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姓名 （准考证号）</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45" w:type="dxa"/>
            <w:tcBorders>
              <w:top w:val="nil"/>
              <w:bottom w:val="nil"/>
              <w:tl2br w:val="nil"/>
              <w:tr2bl w:val="nil"/>
            </w:tcBorders>
            <w:vAlign w:val="center"/>
          </w:tcPr>
          <w:p>
            <w:pPr>
              <w:snapToGrid w:val="0"/>
              <w:spacing w:before="333" w:beforeLines="100"/>
              <w:rPr>
                <w:rFonts w:ascii="楷体_GB2312"/>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指导教师：</w:t>
            </w:r>
          </w:p>
        </w:tc>
        <w:tc>
          <w:tcPr>
            <w:tcW w:w="5089" w:type="dxa"/>
            <w:gridSpan w:val="6"/>
            <w:tcBorders>
              <w:tl2br w:val="nil"/>
              <w:tr2bl w:val="nil"/>
            </w:tcBorders>
            <w:vAlign w:val="bottom"/>
          </w:tcPr>
          <w:p>
            <w:pPr>
              <w:snapToGrid w:val="0"/>
              <w:jc w:val="center"/>
              <w:rPr>
                <w:rFonts w:ascii="楷体_GB2312"/>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姓名  职称</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45" w:type="dxa"/>
            <w:tcBorders>
              <w:top w:val="nil"/>
              <w:tl2br w:val="nil"/>
              <w:tr2bl w:val="nil"/>
            </w:tcBorders>
            <w:vAlign w:val="center"/>
          </w:tcPr>
          <w:p>
            <w:pPr>
              <w:snapToGrid w:val="0"/>
              <w:spacing w:before="333" w:beforeLines="100"/>
              <w:rPr>
                <w:rFonts w:ascii="楷体_GB2312"/>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提交日期：</w:t>
            </w:r>
          </w:p>
        </w:tc>
        <w:tc>
          <w:tcPr>
            <w:tcW w:w="1279" w:type="dxa"/>
            <w:tcBorders>
              <w:bottom w:val="single" w:color="000000" w:sz="4" w:space="0"/>
            </w:tcBorders>
            <w:vAlign w:val="bottom"/>
          </w:tcPr>
          <w:p>
            <w:pPr>
              <w:snapToGrid w:val="0"/>
              <w:jc w:val="center"/>
              <w:rPr>
                <w:rFonts w:ascii="楷体_GB2312"/>
                <w:b/>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202</w:t>
            </w:r>
            <w:r>
              <w:rPr>
                <w:rFonts w:ascii="Times New Roman" w:hAnsi="Times New Roman" w:cs="Times New Roman"/>
                <w:b/>
                <w:bCs/>
                <w:color w:val="000000" w:themeColor="text1"/>
                <w:sz w:val="30"/>
                <w:szCs w:val="30"/>
                <w14:textFill>
                  <w14:solidFill>
                    <w14:schemeClr w14:val="tx1"/>
                  </w14:solidFill>
                </w14:textFill>
              </w:rPr>
              <w:t>3</w:t>
            </w:r>
          </w:p>
        </w:tc>
        <w:tc>
          <w:tcPr>
            <w:tcW w:w="655" w:type="dxa"/>
            <w:tcBorders>
              <w:tl2br w:val="nil"/>
              <w:tr2bl w:val="nil"/>
            </w:tcBorders>
            <w:vAlign w:val="bottom"/>
          </w:tcPr>
          <w:p>
            <w:pPr>
              <w:snapToGrid w:val="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年</w:t>
            </w:r>
          </w:p>
        </w:tc>
        <w:tc>
          <w:tcPr>
            <w:tcW w:w="862" w:type="dxa"/>
            <w:tcBorders>
              <w:bottom w:val="single" w:color="000000" w:sz="4" w:space="0"/>
            </w:tcBorders>
            <w:vAlign w:val="bottom"/>
          </w:tcPr>
          <w:p>
            <w:pPr>
              <w:snapToGrid w:val="0"/>
              <w:jc w:val="center"/>
              <w:rPr>
                <w:rFonts w:ascii="宋体" w:hAnsi="宋体" w:cs="宋体"/>
                <w:b/>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09</w:t>
            </w:r>
          </w:p>
        </w:tc>
        <w:tc>
          <w:tcPr>
            <w:tcW w:w="591" w:type="dxa"/>
            <w:tcBorders>
              <w:tl2br w:val="nil"/>
              <w:tr2bl w:val="nil"/>
            </w:tcBorders>
            <w:vAlign w:val="bottom"/>
          </w:tcPr>
          <w:p>
            <w:pPr>
              <w:snapToGrid w:val="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月</w:t>
            </w:r>
          </w:p>
        </w:tc>
        <w:tc>
          <w:tcPr>
            <w:tcW w:w="913" w:type="dxa"/>
            <w:tcBorders>
              <w:bottom w:val="single" w:color="000000" w:sz="4" w:space="0"/>
            </w:tcBorders>
            <w:vAlign w:val="bottom"/>
          </w:tcPr>
          <w:p>
            <w:pPr>
              <w:snapToGrid w:val="0"/>
              <w:jc w:val="center"/>
              <w:rPr>
                <w:rFonts w:ascii="宋体" w:hAnsi="宋体" w:cs="宋体"/>
                <w:b/>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27</w:t>
            </w:r>
          </w:p>
        </w:tc>
        <w:tc>
          <w:tcPr>
            <w:tcW w:w="789" w:type="dxa"/>
            <w:tcBorders>
              <w:tl2br w:val="nil"/>
              <w:tr2bl w:val="nil"/>
            </w:tcBorders>
            <w:vAlign w:val="bottom"/>
          </w:tcPr>
          <w:p>
            <w:pPr>
              <w:snapToGrid w:val="0"/>
              <w:spacing w:before="333" w:beforeLines="10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日</w:t>
            </w:r>
          </w:p>
        </w:tc>
      </w:tr>
    </w:tbl>
    <w:p>
      <w:pPr>
        <w:spacing w:line="360" w:lineRule="auto"/>
        <w:rPr>
          <w:rFonts w:ascii="楷体_GB2312"/>
          <w:b/>
          <w:szCs w:val="21"/>
        </w:rPr>
      </w:pPr>
    </w:p>
    <w:p>
      <w:pPr>
        <w:spacing w:line="360" w:lineRule="auto"/>
        <w:rPr>
          <w:rFonts w:ascii="楷体_GB2312"/>
          <w:b/>
          <w:szCs w:val="21"/>
        </w:rPr>
      </w:pPr>
    </w:p>
    <w:p>
      <w:pPr>
        <w:spacing w:line="360" w:lineRule="auto"/>
        <w:rPr>
          <w:rFonts w:ascii="楷体_GB2312"/>
          <w:b/>
          <w:szCs w:val="21"/>
        </w:rPr>
      </w:pPr>
    </w:p>
    <w:p>
      <w:pPr>
        <w:spacing w:line="360" w:lineRule="auto"/>
        <w:rPr>
          <w:rFonts w:ascii="楷体_GB2312"/>
          <w:b/>
          <w:szCs w:val="21"/>
        </w:rPr>
      </w:pPr>
    </w:p>
    <w:p>
      <w:pPr>
        <w:spacing w:line="360" w:lineRule="auto"/>
        <w:ind w:left="1138" w:leftChars="542"/>
        <w:rPr>
          <w:rFonts w:ascii="楷体_GB2312"/>
          <w:b/>
          <w:sz w:val="30"/>
          <w:szCs w:val="30"/>
        </w:rPr>
      </w:pPr>
      <w:r>
        <w:rPr>
          <w:rFonts w:ascii="楷体_GB2312"/>
          <w:b/>
          <w:sz w:val="30"/>
          <w:szCs w:val="30"/>
        </w:rPr>
        <w:t xml:space="preserve"> </w:t>
      </w:r>
    </w:p>
    <w:p>
      <w:pPr>
        <w:rPr>
          <w:rFonts w:hint="eastAsia" w:ascii="黑体" w:hAnsi="黑体" w:eastAsia="黑体" w:cs="黑体"/>
          <w:b/>
          <w:kern w:val="44"/>
          <w:sz w:val="36"/>
          <w:szCs w:val="36"/>
        </w:rPr>
      </w:pPr>
      <w:bookmarkStart w:id="3" w:name="_Toc532813602"/>
      <w:bookmarkStart w:id="4" w:name="_Toc16012"/>
      <w:bookmarkStart w:id="5" w:name="_Toc25199"/>
      <w:bookmarkStart w:id="6" w:name="_Toc29889"/>
      <w:bookmarkStart w:id="7" w:name="_Toc31959"/>
      <w:bookmarkStart w:id="8" w:name="_Toc18931206"/>
      <w:bookmarkStart w:id="9" w:name="_Toc532813396"/>
      <w:bookmarkStart w:id="10" w:name="_Toc532379680"/>
      <w:bookmarkStart w:id="11" w:name="_Toc7855"/>
      <w:bookmarkStart w:id="12" w:name="_摘__要"/>
      <w:r>
        <w:rPr>
          <w:rFonts w:hint="eastAsia" w:ascii="黑体" w:hAnsi="黑体" w:eastAsia="黑体" w:cs="黑体"/>
          <w:b/>
          <w:kern w:val="44"/>
          <w:sz w:val="36"/>
          <w:szCs w:val="36"/>
        </w:rPr>
        <w:br w:type="page"/>
      </w:r>
    </w:p>
    <w:p>
      <w:pPr>
        <w:jc w:val="center"/>
        <w:rPr>
          <w:rFonts w:ascii="等线" w:hAnsi="等线" w:eastAsia="等线" w:cs="Times New Roman"/>
          <w:b/>
          <w:sz w:val="28"/>
          <w:szCs w:val="28"/>
        </w:rPr>
      </w:pPr>
      <w:r>
        <w:rPr>
          <w:rFonts w:hint="eastAsia" w:ascii="黑体" w:hAnsi="黑体" w:eastAsia="黑体" w:cs="黑体"/>
          <w:b/>
          <w:kern w:val="44"/>
          <w:sz w:val="36"/>
          <w:szCs w:val="36"/>
        </w:rPr>
        <w:t>学位论文原创性声明</w:t>
      </w:r>
    </w:p>
    <w:p>
      <w:pPr>
        <w:rPr>
          <w:rFonts w:ascii="等线" w:hAnsi="等线" w:eastAsia="等线" w:cs="Times New Roman"/>
          <w:szCs w:val="22"/>
        </w:rPr>
      </w:pPr>
    </w:p>
    <w:p>
      <w:pPr>
        <w:spacing w:line="360" w:lineRule="auto"/>
        <w:ind w:firstLine="480" w:firstLineChars="200"/>
        <w:rPr>
          <w:rFonts w:ascii="宋体" w:hAnsi="宋体" w:cs="宋体"/>
          <w:sz w:val="24"/>
        </w:rPr>
      </w:pPr>
      <w:r>
        <w:rPr>
          <w:rFonts w:hint="eastAsia" w:ascii="宋体" w:hAnsi="宋体" w:cs="宋体"/>
          <w:sz w:val="24"/>
        </w:rPr>
        <w:t>本人郑重声明： 所呈交的学位论文是本人在导师指导下进行的研究工作所取得的研究成果，除了文中已经注明引用的内容外，论文中不包含其他个人或集体已经发表或撰写过的研究成果。对本文的研究作出重要贡献的个人和集体，均已在文中以明确方式标明。本声明的法律后果完全由本人承担。</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480" w:lineRule="auto"/>
        <w:ind w:firstLine="4320" w:firstLineChars="1800"/>
        <w:rPr>
          <w:rFonts w:ascii="宋体" w:hAnsi="宋体" w:cs="宋体"/>
          <w:sz w:val="24"/>
        </w:rPr>
      </w:pPr>
      <w:r>
        <w:rPr>
          <w:rFonts w:hint="eastAsia" w:ascii="宋体" w:hAnsi="宋体" w:cs="宋体"/>
          <w:sz w:val="24"/>
        </w:rPr>
        <w:t>作者签名：</w:t>
      </w:r>
      <w:r>
        <w:rPr>
          <w:rFonts w:hint="eastAsia" w:ascii="宋体" w:hAnsi="宋体" w:cs="宋体"/>
          <w:sz w:val="24"/>
          <w:u w:val="single"/>
        </w:rPr>
        <w:t xml:space="preserve">                        </w:t>
      </w:r>
      <w:r>
        <w:rPr>
          <w:rFonts w:hint="eastAsia" w:ascii="宋体" w:hAnsi="宋体" w:cs="宋体"/>
          <w:sz w:val="24"/>
        </w:rPr>
        <w:t xml:space="preserve">    </w:t>
      </w:r>
    </w:p>
    <w:p>
      <w:pPr>
        <w:spacing w:line="480" w:lineRule="auto"/>
        <w:ind w:firstLine="4800" w:firstLineChars="20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等线" w:hAnsi="等线" w:eastAsia="等线" w:cs="Times New Roman"/>
          <w:sz w:val="24"/>
        </w:rPr>
      </w:pPr>
    </w:p>
    <w:p>
      <w:pPr>
        <w:rPr>
          <w:rFonts w:ascii="等线" w:hAnsi="等线" w:eastAsia="等线" w:cs="Times New Roman"/>
          <w:sz w:val="24"/>
        </w:rPr>
      </w:pPr>
    </w:p>
    <w:p>
      <w:pPr>
        <w:rPr>
          <w:rFonts w:ascii="等线" w:hAnsi="等线" w:eastAsia="等线" w:cs="Times New Roman"/>
          <w:sz w:val="24"/>
        </w:rPr>
      </w:pPr>
    </w:p>
    <w:p>
      <w:pPr>
        <w:rPr>
          <w:rFonts w:ascii="等线" w:hAnsi="等线" w:eastAsia="等线" w:cs="Times New Roman"/>
          <w:szCs w:val="22"/>
        </w:rPr>
      </w:pPr>
    </w:p>
    <w:p>
      <w:pPr>
        <w:rPr>
          <w:rFonts w:ascii="等线" w:hAnsi="等线" w:eastAsia="等线" w:cs="Times New Roman"/>
          <w:szCs w:val="22"/>
        </w:rPr>
      </w:pPr>
    </w:p>
    <w:p>
      <w:pPr>
        <w:jc w:val="center"/>
        <w:rPr>
          <w:rFonts w:ascii="黑体" w:hAnsi="黑体" w:eastAsia="黑体" w:cs="Times New Roman"/>
          <w:b/>
          <w:sz w:val="28"/>
          <w:szCs w:val="28"/>
        </w:rPr>
      </w:pPr>
      <w:r>
        <w:rPr>
          <w:rFonts w:hint="eastAsia" w:ascii="黑体" w:hAnsi="黑体" w:eastAsia="黑体" w:cs="黑体"/>
          <w:b/>
          <w:kern w:val="44"/>
          <w:sz w:val="36"/>
          <w:szCs w:val="36"/>
        </w:rPr>
        <w:t>学位论文授权使用声明</w:t>
      </w:r>
    </w:p>
    <w:p>
      <w:pPr>
        <w:rPr>
          <w:rFonts w:ascii="等线" w:hAnsi="等线" w:eastAsia="等线" w:cs="Times New Roman"/>
          <w:szCs w:val="22"/>
        </w:rPr>
      </w:pPr>
    </w:p>
    <w:p>
      <w:pPr>
        <w:spacing w:line="360" w:lineRule="auto"/>
        <w:ind w:firstLine="480" w:firstLineChars="200"/>
        <w:rPr>
          <w:rFonts w:ascii="宋体" w:hAnsi="宋体" w:cs="宋体"/>
          <w:sz w:val="24"/>
        </w:rPr>
      </w:pPr>
      <w:r>
        <w:rPr>
          <w:rFonts w:hint="eastAsia" w:ascii="宋体" w:hAnsi="宋体" w:cs="宋体"/>
          <w:sz w:val="24"/>
        </w:rPr>
        <w:t xml:space="preserve">本人完全了解华南理工大学有关保留和使用学位论文的规定，即学位论文所涉及的知识产权属于华南理工大学。学校有权保留并向国家有关部门或机构送交论文的复印件和电子版，允许学位论文被查阅和借阅；学校可以公布学位论文的全部或部分内容，可以采用影印、缩印或其它复制手段保存、汇编学位论文。（保密的学位论文在解密后遵守此规定） </w:t>
      </w:r>
    </w:p>
    <w:p>
      <w:pPr>
        <w:spacing w:line="360" w:lineRule="auto"/>
        <w:ind w:firstLine="480" w:firstLineChars="200"/>
        <w:rPr>
          <w:rFonts w:ascii="宋体" w:hAnsi="宋体" w:cs="宋体"/>
          <w:sz w:val="24"/>
        </w:rPr>
      </w:pPr>
    </w:p>
    <w:p>
      <w:pPr>
        <w:spacing w:line="480" w:lineRule="auto"/>
        <w:ind w:firstLine="3120" w:firstLineChars="1300"/>
        <w:rPr>
          <w:rFonts w:ascii="宋体" w:hAnsi="宋体" w:cs="宋体"/>
          <w:sz w:val="24"/>
        </w:rPr>
      </w:pPr>
      <w:r>
        <w:rPr>
          <w:rFonts w:hint="eastAsia" w:ascii="宋体" w:hAnsi="宋体" w:cs="宋体"/>
          <w:sz w:val="24"/>
        </w:rPr>
        <w:t>作者签名：</w:t>
      </w:r>
      <w:r>
        <w:rPr>
          <w:rFonts w:hint="eastAsia" w:ascii="宋体" w:hAnsi="宋体" w:cs="宋体"/>
          <w:sz w:val="24"/>
          <w:u w:val="single"/>
        </w:rPr>
        <w:t xml:space="preserve">          </w:t>
      </w:r>
      <w:r>
        <w:rPr>
          <w:rFonts w:hint="eastAsia" w:ascii="宋体" w:hAnsi="宋体" w:cs="宋体"/>
          <w:sz w:val="24"/>
        </w:rPr>
        <w:t xml:space="preserve"> 导师签名：</w:t>
      </w:r>
      <w:r>
        <w:rPr>
          <w:rFonts w:hint="eastAsia" w:ascii="宋体" w:hAnsi="宋体" w:cs="宋体"/>
          <w:sz w:val="24"/>
          <w:u w:val="single"/>
        </w:rPr>
        <w:t xml:space="preserve">             </w:t>
      </w:r>
      <w:r>
        <w:rPr>
          <w:rFonts w:hint="eastAsia" w:ascii="宋体" w:hAnsi="宋体" w:cs="宋体"/>
          <w:sz w:val="24"/>
        </w:rPr>
        <w:t xml:space="preserve"> </w:t>
      </w:r>
    </w:p>
    <w:p>
      <w:pPr>
        <w:wordWrap w:val="0"/>
        <w:spacing w:line="480" w:lineRule="auto"/>
        <w:ind w:firstLine="1840" w:firstLineChars="767"/>
        <w:jc w:val="right"/>
        <w:rPr>
          <w:rFonts w:ascii="黑体" w:hAnsi="黑体" w:eastAsia="黑体" w:cs="黑体"/>
          <w:sz w:val="36"/>
          <w:szCs w:val="36"/>
        </w:rPr>
        <w:sectPr>
          <w:footerReference r:id="rId7" w:type="first"/>
          <w:headerReference r:id="rId3" w:type="default"/>
          <w:footerReference r:id="rId5" w:type="default"/>
          <w:headerReference r:id="rId4" w:type="even"/>
          <w:footerReference r:id="rId6" w:type="even"/>
          <w:pgSz w:w="11906" w:h="16838"/>
          <w:pgMar w:top="1417" w:right="1417" w:bottom="1417" w:left="1417" w:header="851" w:footer="850" w:gutter="0"/>
          <w:pgNumType w:fmt="upperRoman" w:start="1"/>
          <w:cols w:space="0" w:num="1"/>
          <w:titlePg/>
          <w:docGrid w:type="lines" w:linePitch="333" w:charSpace="0"/>
        </w:sectPr>
      </w:pPr>
      <w:r>
        <w:rPr>
          <w:rFonts w:hint="eastAsia" w:ascii="宋体" w:hAnsi="宋体" w:cs="宋体"/>
          <w:sz w:val="24"/>
          <w:lang w:val="en-US" w:eastAsia="zh-CN"/>
        </w:rPr>
        <w:t xml:space="preserve">  </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 </w:t>
      </w:r>
      <w:r>
        <w:rPr>
          <w:rFonts w:hint="eastAsia" w:ascii="宋体" w:hAnsi="宋体" w:cs="宋体"/>
          <w:sz w:val="24"/>
          <w:u w:val="single"/>
        </w:rPr>
        <w:t xml:space="preserve">    </w:t>
      </w:r>
      <w:r>
        <w:rPr>
          <w:rFonts w:hint="eastAsia" w:ascii="宋体" w:hAnsi="宋体" w:cs="宋体"/>
          <w:sz w:val="24"/>
        </w:rPr>
        <w:t xml:space="preserve"> 日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pStyle w:val="2"/>
        <w:spacing w:before="333" w:beforeLines="100" w:after="333" w:afterLines="100" w:line="360" w:lineRule="auto"/>
        <w:jc w:val="center"/>
        <w:rPr>
          <w:rFonts w:ascii="黑体" w:hAnsi="黑体" w:eastAsia="黑体" w:cs="黑体"/>
          <w:sz w:val="36"/>
          <w:szCs w:val="36"/>
        </w:rPr>
      </w:pPr>
      <w:r>
        <w:rPr>
          <w:rFonts w:hint="eastAsia" w:ascii="黑体" w:hAnsi="黑体" w:eastAsia="黑体" w:cs="黑体"/>
          <w:sz w:val="36"/>
          <w:szCs w:val="36"/>
        </w:rPr>
        <w:t>摘  要</w:t>
      </w:r>
      <w:bookmarkEnd w:id="3"/>
      <w:bookmarkEnd w:id="4"/>
      <w:bookmarkEnd w:id="5"/>
      <w:bookmarkEnd w:id="6"/>
      <w:bookmarkEnd w:id="7"/>
      <w:bookmarkEnd w:id="8"/>
      <w:bookmarkEnd w:id="9"/>
      <w:bookmarkEnd w:id="10"/>
      <w:bookmarkEnd w:id="11"/>
    </w:p>
    <w:bookmarkEnd w:id="12"/>
    <w:p>
      <w:pPr>
        <w:spacing w:line="360" w:lineRule="auto"/>
        <w:ind w:firstLine="480" w:firstLineChars="200"/>
        <w:rPr>
          <w:rFonts w:ascii="宋体" w:hAnsi="宋体" w:cs="宋体"/>
          <w:sz w:val="24"/>
        </w:rPr>
      </w:pPr>
      <w:r>
        <w:rPr>
          <w:rFonts w:hint="eastAsia" w:ascii="宋体" w:hAnsi="宋体" w:cs="宋体"/>
          <w:sz w:val="24"/>
        </w:rPr>
        <w:t>随着绿色建筑理论研究和实践技术的发展，我国绿色建筑已经经历了从小范围试行到大范围推进的过程。当前在绿色建筑发展中存在着建筑师的“缺位”和对绿色建筑设计核心内涵理解不足等现实问题，如何在设计阶段充分发挥建筑师的导航作用，在项目开展的源头夯实建筑的绿色基石，避免出现设计理念、方向和技术性偏差，是本文重点关注和研究的方向。基于此，本次论文将围绕“绿色建筑”这个大话题，结合最新《标准》指导思路，采用整体、综合、融贯的研究思维，首先多层次分析广东地区绿色建筑设计发展的现状问题，紧扣当下建筑实际，提出适应气候和融合自然的绿色建筑设计策略。同时以广州市番禺区长隆</w:t>
      </w:r>
      <w:r>
        <w:rPr>
          <w:rFonts w:ascii="Times New Roman" w:hAnsi="Times New Roman" w:cs="Times New Roman"/>
          <w:sz w:val="24"/>
        </w:rPr>
        <w:t>103</w:t>
      </w:r>
      <w:r>
        <w:rPr>
          <w:rFonts w:hint="eastAsia" w:ascii="宋体" w:hAnsi="宋体" w:cs="宋体"/>
          <w:sz w:val="24"/>
        </w:rPr>
        <w:t>地块重点开发项目为例，立足建筑自身条件，从建筑全寿命周期、建筑总体布局、单体设计、信息模型等几个方面进行探讨高层绿色住宅的实现途径，希望能通过被动方式实现绿色建筑设计目标，同时为广州市的绿色建筑设计提供创新指引。</w:t>
      </w:r>
    </w:p>
    <w:p>
      <w:pPr>
        <w:widowControl/>
        <w:spacing w:line="360" w:lineRule="auto"/>
        <w:jc w:val="left"/>
        <w:rPr>
          <w:rFonts w:ascii="黑体" w:hAnsi="黑体" w:eastAsia="黑体" w:cs="宋体"/>
          <w:b/>
          <w:kern w:val="0"/>
          <w:sz w:val="24"/>
        </w:rPr>
      </w:pPr>
    </w:p>
    <w:p>
      <w:pPr>
        <w:widowControl/>
        <w:spacing w:line="360" w:lineRule="auto"/>
        <w:jc w:val="left"/>
        <w:rPr>
          <w:rFonts w:ascii="宋体" w:hAnsi="宋体" w:cs="宋体"/>
          <w:kern w:val="0"/>
          <w:sz w:val="24"/>
        </w:rPr>
      </w:pPr>
      <w:r>
        <w:rPr>
          <w:rFonts w:ascii="黑体" w:hAnsi="黑体" w:eastAsia="黑体" w:cs="宋体"/>
          <w:b/>
          <w:kern w:val="0"/>
          <w:sz w:val="24"/>
        </w:rPr>
        <w:t>关键词</w:t>
      </w:r>
      <w:r>
        <w:rPr>
          <w:rFonts w:hint="eastAsia" w:ascii="黑体" w:hAnsi="黑体" w:eastAsia="黑体" w:cs="宋体"/>
          <w:b/>
          <w:kern w:val="0"/>
          <w:sz w:val="24"/>
        </w:rPr>
        <w:t>：</w:t>
      </w:r>
      <w:r>
        <w:rPr>
          <w:rFonts w:hint="eastAsia" w:ascii="宋体" w:hAnsi="宋体" w:cs="宋体"/>
          <w:sz w:val="24"/>
        </w:rPr>
        <w:t>广州地区；绿色住宅；绿色建筑评价标准；设计策略</w:t>
      </w:r>
    </w:p>
    <w:p>
      <w:pPr>
        <w:rPr>
          <w:color w:val="00B050"/>
          <w:sz w:val="24"/>
        </w:rPr>
      </w:pPr>
      <w:bookmarkStart w:id="13" w:name="_Toc532813397"/>
      <w:bookmarkStart w:id="14" w:name="_Toc532813603"/>
      <w:bookmarkStart w:id="15" w:name="_Toc532379681"/>
      <w:bookmarkStart w:id="16" w:name="_Toc18931207"/>
      <w:r>
        <w:rPr>
          <w:rFonts w:hint="eastAsia"/>
          <w:color w:val="00B050"/>
          <w:sz w:val="24"/>
        </w:rPr>
        <w:br w:type="page"/>
      </w:r>
    </w:p>
    <w:p>
      <w:pPr>
        <w:pStyle w:val="2"/>
        <w:spacing w:before="333" w:beforeLines="100" w:after="333" w:afterLines="100" w:line="360" w:lineRule="auto"/>
        <w:jc w:val="center"/>
        <w:rPr>
          <w:sz w:val="36"/>
          <w:szCs w:val="36"/>
        </w:rPr>
      </w:pPr>
      <w:bookmarkStart w:id="17" w:name="_Toc17683"/>
      <w:bookmarkStart w:id="18" w:name="_Toc4971"/>
      <w:bookmarkStart w:id="19" w:name="_Toc10738"/>
      <w:bookmarkStart w:id="20" w:name="_Toc12392"/>
      <w:bookmarkStart w:id="21" w:name="_Toc22964"/>
      <w:r>
        <w:rPr>
          <w:rFonts w:ascii="Times New Roman" w:hAnsi="Times New Roman" w:cs="Times New Roman"/>
          <w:sz w:val="36"/>
          <w:szCs w:val="36"/>
        </w:rPr>
        <w:t>Abstract</w:t>
      </w:r>
      <w:bookmarkEnd w:id="13"/>
      <w:bookmarkEnd w:id="14"/>
      <w:bookmarkEnd w:id="15"/>
      <w:bookmarkEnd w:id="16"/>
      <w:bookmarkEnd w:id="17"/>
      <w:bookmarkEnd w:id="18"/>
      <w:bookmarkEnd w:id="19"/>
      <w:bookmarkEnd w:id="20"/>
      <w:bookmarkEnd w:id="21"/>
    </w:p>
    <w:p>
      <w:pPr>
        <w:spacing w:line="360" w:lineRule="auto"/>
        <w:ind w:firstLine="480" w:firstLineChars="200"/>
        <w:rPr>
          <w:color w:val="00B050"/>
          <w:sz w:val="24"/>
        </w:rPr>
      </w:pPr>
      <w:r>
        <w:rPr>
          <w:rFonts w:ascii="Times New Roman" w:hAnsi="Times New Roman" w:cs="Times New Roman"/>
          <w:sz w:val="24"/>
        </w:rPr>
        <w:t>With the development of theoretical research and practical technology of the green building,China's green building has experienced the process from small-scale trial to large-scale promotion. Now there are many issues about the development of the green building, such as the lackness of architects, no proper understanding about the core content of the green building......</w:t>
      </w:r>
    </w:p>
    <w:p>
      <w:pPr>
        <w:widowControl/>
        <w:spacing w:line="360" w:lineRule="auto"/>
        <w:jc w:val="left"/>
        <w:rPr>
          <w:rFonts w:ascii="Times New Roman" w:hAnsi="Times New Roman" w:cs="Times New Roman"/>
          <w:b/>
          <w:bCs/>
          <w:sz w:val="24"/>
        </w:rPr>
      </w:pPr>
    </w:p>
    <w:p>
      <w:pPr>
        <w:widowControl/>
        <w:spacing w:line="360" w:lineRule="auto"/>
        <w:jc w:val="left"/>
        <w:rPr>
          <w:rFonts w:ascii="Times New Roman" w:hAnsi="Times New Roman" w:cs="Times New Roman"/>
          <w:sz w:val="24"/>
        </w:rPr>
      </w:pPr>
      <w:r>
        <w:rPr>
          <w:rFonts w:ascii="Times New Roman" w:hAnsi="Times New Roman" w:cs="Times New Roman"/>
          <w:b/>
          <w:bCs/>
          <w:sz w:val="24"/>
        </w:rPr>
        <w:t xml:space="preserve">Key Words: </w:t>
      </w:r>
      <w:r>
        <w:rPr>
          <w:rFonts w:ascii="Times New Roman" w:hAnsi="Times New Roman" w:cs="Times New Roman"/>
          <w:sz w:val="24"/>
        </w:rPr>
        <w:t>Guangzhou area；Green residence；the evaluation standard of the green building；Design strategy</w:t>
      </w:r>
    </w:p>
    <w:p>
      <w:pPr>
        <w:rPr>
          <w:kern w:val="0"/>
          <w:sz w:val="24"/>
        </w:rPr>
      </w:pPr>
    </w:p>
    <w:p>
      <w:pPr>
        <w:rPr>
          <w:kern w:val="0"/>
          <w:sz w:val="24"/>
        </w:rPr>
      </w:pPr>
      <w:r>
        <w:rPr>
          <w:kern w:val="0"/>
          <w:sz w:val="24"/>
        </w:rPr>
        <w:br w:type="page"/>
      </w:r>
    </w:p>
    <w:sdt>
      <w:sdtPr>
        <w:rPr>
          <w:rFonts w:ascii="宋体" w:hAnsi="宋体" w:eastAsia="宋体" w:cs="Times New Roman"/>
          <w:kern w:val="0"/>
          <w:sz w:val="20"/>
          <w:szCs w:val="20"/>
        </w:rPr>
        <w:id w:val="147455126"/>
        <w15:color w:val="DBDBDB"/>
        <w:docPartObj>
          <w:docPartGallery w:val="Table of Contents"/>
          <w:docPartUnique/>
        </w:docPartObj>
      </w:sdtPr>
      <w:sdtEndPr>
        <w:rPr>
          <w:rFonts w:cs="Times New Roman" w:asciiTheme="minorHAnsi" w:hAnsiTheme="minorHAnsi" w:eastAsiaTheme="minorEastAsia"/>
          <w:kern w:val="0"/>
          <w:sz w:val="20"/>
          <w:szCs w:val="20"/>
        </w:rPr>
      </w:sdtEndPr>
      <w:sdtContent>
        <w:p>
          <w:pPr>
            <w:spacing w:before="333" w:beforeLines="100" w:after="333" w:afterLines="100" w:line="360" w:lineRule="auto"/>
            <w:jc w:val="center"/>
            <w:rPr>
              <w:rStyle w:val="39"/>
              <w:rFonts w:ascii="黑体" w:hAnsi="黑体" w:eastAsia="黑体" w:cs="黑体"/>
            </w:rPr>
          </w:pPr>
          <w:r>
            <w:rPr>
              <w:rFonts w:hint="eastAsia" w:ascii="黑体" w:hAnsi="黑体" w:eastAsia="黑体" w:cs="黑体"/>
              <w:b/>
              <w:bCs/>
              <w:sz w:val="36"/>
              <w:szCs w:val="36"/>
            </w:rPr>
            <w:t>目  录</w:t>
          </w:r>
        </w:p>
        <w:p>
          <w:pPr>
            <w:pStyle w:val="12"/>
            <w:tabs>
              <w:tab w:val="right" w:leader="dot" w:pos="9072"/>
            </w:tabs>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TOC \o "1-3" \h \u </w:instrText>
          </w:r>
          <w:r>
            <w:rPr>
              <w:rFonts w:hint="eastAsia" w:ascii="宋体" w:hAnsi="宋体" w:eastAsia="宋体" w:cs="宋体"/>
              <w:kern w:val="0"/>
              <w:sz w:val="24"/>
            </w:rPr>
            <w:fldChar w:fldCharType="separate"/>
          </w:r>
          <w:r>
            <w:fldChar w:fldCharType="begin"/>
          </w:r>
          <w:r>
            <w:instrText xml:space="preserve"> HYPERLINK \l "_Toc7855" </w:instrText>
          </w:r>
          <w:r>
            <w:fldChar w:fldCharType="separate"/>
          </w:r>
          <w:r>
            <w:rPr>
              <w:rFonts w:hint="eastAsia" w:ascii="黑体" w:hAnsi="黑体" w:eastAsia="黑体" w:cs="黑体"/>
              <w:sz w:val="28"/>
              <w:szCs w:val="28"/>
            </w:rPr>
            <w:t>摘  要</w:t>
          </w:r>
          <w:r>
            <w:rPr>
              <w:rFonts w:hint="eastAsia" w:ascii="黑体" w:hAnsi="黑体" w:eastAsia="黑体" w:cs="黑体"/>
              <w:sz w:val="28"/>
              <w:szCs w:val="28"/>
            </w:rPr>
            <w:tab/>
          </w:r>
          <w:r>
            <w:rPr>
              <w:rFonts w:ascii="Times New Roman" w:hAnsi="Times New Roman" w:eastAsia="黑体" w:cs="Times New Roman"/>
              <w:sz w:val="28"/>
              <w:szCs w:val="28"/>
            </w:rPr>
            <w:t>I</w:t>
          </w:r>
          <w:r>
            <w:rPr>
              <w:rFonts w:ascii="Times New Roman" w:hAnsi="Times New Roman" w:eastAsia="黑体" w:cs="Times New Roman"/>
              <w:sz w:val="28"/>
              <w:szCs w:val="28"/>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"_Toc4971" </w:instrText>
          </w:r>
          <w:r>
            <w:fldChar w:fldCharType="separate"/>
          </w:r>
          <w:r>
            <w:rPr>
              <w:rFonts w:ascii="Times New Roman" w:hAnsi="Times New Roman" w:eastAsia="黑体" w:cs="Times New Roman"/>
              <w:kern w:val="0"/>
              <w:sz w:val="28"/>
              <w:szCs w:val="28"/>
            </w:rPr>
            <w:t>Abstract</w:t>
          </w:r>
          <w:r>
            <w:rPr>
              <w:rFonts w:hint="eastAsia" w:ascii="黑体" w:hAnsi="黑体" w:eastAsia="黑体" w:cs="黑体"/>
              <w:kern w:val="0"/>
              <w:sz w:val="28"/>
              <w:szCs w:val="28"/>
            </w:rPr>
            <w:tab/>
          </w:r>
          <w:r>
            <w:rPr>
              <w:rFonts w:ascii="Times New Roman" w:hAnsi="Times New Roman" w:eastAsia="黑体" w:cs="Times New Roman"/>
              <w:sz w:val="28"/>
              <w:szCs w:val="28"/>
            </w:rPr>
            <w:t>II</w:t>
          </w: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28"/>
              <w:szCs w:val="28"/>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"_Toc797" </w:instrText>
          </w:r>
          <w:r>
            <w:fldChar w:fldCharType="separate"/>
          </w:r>
          <w:r>
            <w:rPr>
              <w:rFonts w:hint="eastAsia" w:ascii="黑体" w:hAnsi="黑体" w:eastAsia="黑体" w:cs="黑体"/>
              <w:kern w:val="0"/>
              <w:sz w:val="28"/>
              <w:szCs w:val="28"/>
            </w:rPr>
            <w:t>第一章 绪论</w:t>
          </w:r>
          <w:r>
            <w:rPr>
              <w:rFonts w:hint="eastAsia" w:ascii="黑体" w:hAnsi="黑体" w:eastAsia="黑体" w:cs="黑体"/>
              <w:kern w:val="0"/>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_Toc797 \h </w:instrText>
          </w:r>
          <w:r>
            <w:rPr>
              <w:rFonts w:hint="eastAsia" w:ascii="Times New Roman" w:hAnsi="Times New Roman" w:eastAsia="黑体" w:cs="Times New Roman"/>
              <w:sz w:val="28"/>
              <w:szCs w:val="28"/>
            </w:rPr>
            <w:fldChar w:fldCharType="separate"/>
          </w:r>
          <w:r>
            <w:rPr>
              <w:rFonts w:ascii="Times New Roman" w:hAnsi="Times New Roman" w:eastAsia="黑体" w:cs="Times New Roman"/>
              <w:sz w:val="28"/>
              <w:szCs w:val="28"/>
            </w:rPr>
            <w:t>1</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"_Toc394" </w:instrText>
          </w:r>
          <w:r>
            <w:fldChar w:fldCharType="separate"/>
          </w:r>
          <w:r>
            <w:rPr>
              <w:rFonts w:hint="eastAsia" w:ascii="Times New Roman" w:hAnsi="Times New Roman" w:eastAsia="宋体" w:cs="Times New Roman"/>
              <w:sz w:val="24"/>
            </w:rPr>
            <w:t>1.1</w:t>
          </w:r>
          <w:r>
            <w:rPr>
              <w:rFonts w:hint="eastAsia" w:ascii="宋体" w:hAnsi="宋体" w:eastAsia="宋体" w:cs="宋体"/>
              <w:sz w:val="24"/>
            </w:rPr>
            <w:t>研究的背景和意义</w:t>
          </w:r>
          <w:r>
            <w:rPr>
              <w:rFonts w:hint="eastAsia" w:ascii="宋体" w:hAnsi="宋体" w:eastAsia="宋体" w:cs="宋体"/>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_Toc394 \h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"_Toc14377" </w:instrText>
          </w:r>
          <w:r>
            <w:fldChar w:fldCharType="separate"/>
          </w:r>
          <w:r>
            <w:rPr>
              <w:rFonts w:hint="eastAsia" w:ascii="Times New Roman" w:hAnsi="Times New Roman" w:eastAsia="宋体" w:cs="Times New Roman"/>
              <w:sz w:val="24"/>
            </w:rPr>
            <w:t>1.1.1</w:t>
          </w:r>
          <w:r>
            <w:rPr>
              <w:rFonts w:hint="eastAsia" w:ascii="宋体" w:hAnsi="宋体" w:eastAsia="宋体" w:cs="宋体"/>
              <w:sz w:val="24"/>
            </w:rPr>
            <w:t>研究背景</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_Toc14377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1</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"_Toc28494" </w:instrText>
          </w:r>
          <w:r>
            <w:fldChar w:fldCharType="separate"/>
          </w:r>
          <w:r>
            <w:rPr>
              <w:rFonts w:hint="eastAsia" w:ascii="Times New Roman" w:hAnsi="Times New Roman" w:eastAsia="宋体" w:cs="Times New Roman"/>
              <w:sz w:val="24"/>
            </w:rPr>
            <w:t>1.1.2</w:t>
          </w:r>
          <w:r>
            <w:rPr>
              <w:rFonts w:hint="eastAsia" w:ascii="宋体" w:hAnsi="宋体" w:eastAsia="宋体" w:cs="宋体"/>
              <w:sz w:val="24"/>
            </w:rPr>
            <w:t>研究的意义</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_Toc28494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2</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"_Toc9925" </w:instrText>
          </w:r>
          <w:r>
            <w:fldChar w:fldCharType="separate"/>
          </w:r>
          <w:r>
            <w:rPr>
              <w:rFonts w:hint="eastAsia" w:ascii="Times New Roman" w:hAnsi="Times New Roman" w:eastAsia="宋体" w:cs="Times New Roman"/>
              <w:sz w:val="24"/>
            </w:rPr>
            <w:t>1.2</w:t>
          </w:r>
          <w:r>
            <w:rPr>
              <w:rFonts w:hint="eastAsia" w:ascii="宋体" w:hAnsi="宋体" w:eastAsia="宋体" w:cs="宋体"/>
              <w:sz w:val="24"/>
            </w:rPr>
            <w:t>绿色建筑国内外研究现状</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_Toc9925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2</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"_Toc24537" </w:instrText>
          </w:r>
          <w:r>
            <w:fldChar w:fldCharType="separate"/>
          </w:r>
          <w:r>
            <w:rPr>
              <w:rFonts w:hint="eastAsia" w:ascii="Times New Roman" w:hAnsi="Times New Roman" w:eastAsia="宋体" w:cs="Times New Roman"/>
              <w:sz w:val="24"/>
            </w:rPr>
            <w:t>1.2.1</w:t>
          </w:r>
          <w:r>
            <w:rPr>
              <w:rFonts w:hint="eastAsia" w:ascii="宋体" w:hAnsi="宋体" w:eastAsia="宋体" w:cs="宋体"/>
              <w:sz w:val="24"/>
            </w:rPr>
            <w:t>国外研究现状</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_Toc24537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2</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"_Toc29604" </w:instrText>
          </w:r>
          <w:r>
            <w:fldChar w:fldCharType="separate"/>
          </w:r>
          <w:r>
            <w:rPr>
              <w:rFonts w:hint="eastAsia" w:ascii="Times New Roman" w:hAnsi="Times New Roman" w:eastAsia="宋体" w:cs="Times New Roman"/>
              <w:sz w:val="24"/>
            </w:rPr>
            <w:t>1.2.2</w:t>
          </w:r>
          <w:r>
            <w:rPr>
              <w:rFonts w:hint="eastAsia" w:ascii="宋体" w:hAnsi="宋体" w:eastAsia="宋体" w:cs="宋体"/>
              <w:sz w:val="24"/>
            </w:rPr>
            <w:t>国内研究现状</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_Toc29604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2</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"_Toc8929" </w:instrText>
          </w:r>
          <w:r>
            <w:fldChar w:fldCharType="separate"/>
          </w:r>
          <w:r>
            <w:rPr>
              <w:rFonts w:hint="eastAsia" w:ascii="Times New Roman" w:hAnsi="Times New Roman" w:eastAsia="宋体" w:cs="Times New Roman"/>
              <w:sz w:val="24"/>
            </w:rPr>
            <w:t>1.3</w:t>
          </w:r>
          <w:r>
            <w:rPr>
              <w:rFonts w:hint="eastAsia" w:ascii="宋体" w:hAnsi="宋体" w:eastAsia="宋体" w:cs="宋体"/>
              <w:sz w:val="24"/>
            </w:rPr>
            <w:t>研究内容与方法</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_Toc8929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3</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"_Toc7744" </w:instrText>
          </w:r>
          <w:r>
            <w:fldChar w:fldCharType="separate"/>
          </w:r>
          <w:r>
            <w:rPr>
              <w:rFonts w:hint="eastAsia" w:ascii="Times New Roman" w:hAnsi="Times New Roman" w:eastAsia="宋体" w:cs="Times New Roman"/>
              <w:sz w:val="24"/>
            </w:rPr>
            <w:t>1.3.1</w:t>
          </w:r>
          <w:r>
            <w:rPr>
              <w:rFonts w:hint="eastAsia" w:ascii="宋体" w:hAnsi="宋体" w:eastAsia="宋体" w:cs="宋体"/>
              <w:sz w:val="24"/>
            </w:rPr>
            <w:t>研究内容</w:t>
          </w:r>
          <w:r>
            <w:rPr>
              <w:rFonts w:hint="eastAsia" w:ascii="宋体" w:hAnsi="宋体" w:eastAsia="宋体" w:cs="宋体"/>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_Toc7744 \h </w:instrText>
          </w:r>
          <w:r>
            <w:rPr>
              <w:rFonts w:ascii="Times New Roman" w:hAnsi="Times New Roman" w:eastAsia="宋体" w:cs="Times New Roman"/>
              <w:sz w:val="24"/>
            </w:rPr>
            <w:fldChar w:fldCharType="separate"/>
          </w:r>
          <w:r>
            <w:rPr>
              <w:rFonts w:ascii="Times New Roman" w:hAnsi="Times New Roman" w:eastAsia="宋体" w:cs="Times New Roman"/>
              <w:sz w:val="24"/>
            </w:rPr>
            <w:t>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"_Toc30220" </w:instrText>
          </w:r>
          <w:r>
            <w:fldChar w:fldCharType="separate"/>
          </w:r>
          <w:r>
            <w:rPr>
              <w:rFonts w:hint="eastAsia" w:ascii="Times New Roman" w:hAnsi="Times New Roman" w:eastAsia="宋体" w:cs="Times New Roman"/>
              <w:sz w:val="24"/>
            </w:rPr>
            <w:t>1.3.2</w:t>
          </w:r>
          <w:r>
            <w:rPr>
              <w:rFonts w:hint="eastAsia" w:ascii="宋体" w:hAnsi="宋体" w:eastAsia="宋体" w:cs="宋体"/>
              <w:sz w:val="24"/>
            </w:rPr>
            <w:t>研究方法</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_Toc30220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3</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"_Toc8542" </w:instrText>
          </w:r>
          <w:r>
            <w:fldChar w:fldCharType="separate"/>
          </w:r>
          <w:r>
            <w:rPr>
              <w:rFonts w:hint="eastAsia" w:ascii="黑体" w:hAnsi="黑体" w:eastAsia="黑体" w:cs="黑体"/>
              <w:kern w:val="0"/>
              <w:sz w:val="28"/>
              <w:szCs w:val="28"/>
            </w:rPr>
            <w:t>第二章 绿色建筑相关概念界定与发展现状分析</w:t>
          </w:r>
          <w:r>
            <w:rPr>
              <w:rFonts w:hint="eastAsia" w:ascii="黑体" w:hAnsi="黑体" w:eastAsia="黑体" w:cs="黑体"/>
              <w:kern w:val="0"/>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_Toc8542 \h </w:instrText>
          </w:r>
          <w:r>
            <w:rPr>
              <w:rFonts w:hint="eastAsia" w:ascii="Times New Roman" w:hAnsi="Times New Roman" w:eastAsia="黑体" w:cs="Times New Roman"/>
              <w:sz w:val="28"/>
              <w:szCs w:val="28"/>
            </w:rPr>
            <w:fldChar w:fldCharType="separate"/>
          </w:r>
          <w:r>
            <w:rPr>
              <w:rFonts w:ascii="Times New Roman" w:hAnsi="Times New Roman" w:eastAsia="黑体" w:cs="Times New Roman"/>
              <w:sz w:val="28"/>
              <w:szCs w:val="28"/>
            </w:rPr>
            <w:t>5</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"_Toc5628" </w:instrText>
          </w:r>
          <w:r>
            <w:fldChar w:fldCharType="separate"/>
          </w:r>
          <w:r>
            <w:rPr>
              <w:rFonts w:hint="eastAsia" w:ascii="Times New Roman" w:hAnsi="Times New Roman" w:eastAsia="宋体" w:cs="Times New Roman"/>
              <w:sz w:val="24"/>
            </w:rPr>
            <w:t>2.1</w:t>
          </w:r>
          <w:r>
            <w:rPr>
              <w:rFonts w:hint="eastAsia" w:ascii="宋体" w:hAnsi="宋体" w:eastAsia="宋体" w:cs="宋体"/>
              <w:sz w:val="24"/>
            </w:rPr>
            <w:t>绿色建筑概念</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_Toc5628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5</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"_Toc26707" </w:instrText>
          </w:r>
          <w:r>
            <w:fldChar w:fldCharType="separate"/>
          </w:r>
          <w:r>
            <w:rPr>
              <w:rFonts w:hint="eastAsia" w:ascii="Times New Roman" w:hAnsi="Times New Roman" w:eastAsia="宋体" w:cs="Times New Roman"/>
              <w:sz w:val="24"/>
            </w:rPr>
            <w:t>2.2</w:t>
          </w:r>
          <w:r>
            <w:rPr>
              <w:rFonts w:hint="eastAsia" w:ascii="宋体" w:hAnsi="宋体" w:eastAsia="宋体" w:cs="宋体"/>
              <w:sz w:val="24"/>
            </w:rPr>
            <w:t>绿色建筑评价体系</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_Toc26707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5</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"_Toc25830" </w:instrText>
          </w:r>
          <w:r>
            <w:fldChar w:fldCharType="separate"/>
          </w:r>
          <w:r>
            <w:rPr>
              <w:rFonts w:hint="eastAsia" w:ascii="Times New Roman" w:hAnsi="Times New Roman" w:eastAsia="宋体" w:cs="Times New Roman"/>
              <w:sz w:val="24"/>
            </w:rPr>
            <w:t>2.3</w:t>
          </w:r>
          <w:r>
            <w:rPr>
              <w:rFonts w:hint="eastAsia" w:ascii="宋体" w:hAnsi="宋体" w:eastAsia="宋体" w:cs="宋体"/>
              <w:sz w:val="24"/>
            </w:rPr>
            <w:t>广东地区绿色建筑发展现状分析</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_Toc25830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5</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"_Toc18394" </w:instrText>
          </w:r>
          <w:r>
            <w:fldChar w:fldCharType="separate"/>
          </w:r>
          <w:r>
            <w:rPr>
              <w:rFonts w:hint="eastAsia" w:ascii="Times New Roman" w:hAnsi="Times New Roman" w:eastAsia="宋体" w:cs="Times New Roman"/>
              <w:sz w:val="24"/>
            </w:rPr>
            <w:t>2.3.1</w:t>
          </w:r>
          <w:r>
            <w:rPr>
              <w:rFonts w:hint="eastAsia" w:ascii="宋体" w:hAnsi="宋体" w:eastAsia="宋体" w:cs="宋体"/>
              <w:sz w:val="24"/>
            </w:rPr>
            <w:t>绿色建筑发展概况</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_Toc18394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5</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"_Toc15012" </w:instrText>
          </w:r>
          <w:r>
            <w:fldChar w:fldCharType="separate"/>
          </w:r>
          <w:r>
            <w:rPr>
              <w:rFonts w:hint="eastAsia" w:ascii="Times New Roman" w:hAnsi="Times New Roman" w:eastAsia="宋体" w:cs="Times New Roman"/>
              <w:sz w:val="24"/>
            </w:rPr>
            <w:t>2.3.2</w:t>
          </w:r>
          <w:r>
            <w:rPr>
              <w:rFonts w:hint="eastAsia" w:ascii="宋体" w:hAnsi="宋体" w:eastAsia="宋体" w:cs="宋体"/>
              <w:sz w:val="24"/>
            </w:rPr>
            <w:t>绿色建筑设计标识项目概况</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_Toc15012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5</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"_Toc24130" </w:instrText>
          </w:r>
          <w:r>
            <w:fldChar w:fldCharType="separate"/>
          </w:r>
          <w:r>
            <w:rPr>
              <w:rFonts w:hint="eastAsia" w:ascii="Times New Roman" w:hAnsi="Times New Roman" w:eastAsia="宋体" w:cs="Times New Roman"/>
              <w:sz w:val="24"/>
            </w:rPr>
            <w:t>2.3.3</w:t>
          </w:r>
          <w:r>
            <w:rPr>
              <w:rFonts w:hint="eastAsia" w:ascii="宋体" w:hAnsi="宋体" w:eastAsia="宋体" w:cs="宋体"/>
              <w:sz w:val="24"/>
            </w:rPr>
            <w:t>广东绿色建筑设计项目现状问题思考</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_Toc24130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6</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"_Toc21160" </w:instrText>
          </w:r>
          <w:r>
            <w:fldChar w:fldCharType="separate"/>
          </w:r>
          <w:r>
            <w:rPr>
              <w:rFonts w:hint="eastAsia" w:ascii="Times New Roman" w:hAnsi="Times New Roman" w:eastAsia="宋体" w:cs="Times New Roman"/>
              <w:sz w:val="24"/>
            </w:rPr>
            <w:t>2.4</w:t>
          </w:r>
          <w:r>
            <w:rPr>
              <w:rFonts w:hint="eastAsia" w:ascii="宋体" w:hAnsi="宋体" w:eastAsia="宋体" w:cs="宋体"/>
              <w:sz w:val="24"/>
            </w:rPr>
            <w:t xml:space="preserve"> 本章小结</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_Toc21160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6</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"_Toc7721" </w:instrText>
          </w:r>
          <w:r>
            <w:fldChar w:fldCharType="separate"/>
          </w:r>
          <w:r>
            <w:rPr>
              <w:rFonts w:hint="eastAsia" w:ascii="黑体" w:hAnsi="黑体" w:eastAsia="黑体" w:cs="黑体"/>
              <w:kern w:val="0"/>
              <w:sz w:val="28"/>
              <w:szCs w:val="28"/>
            </w:rPr>
            <w:t>第三章 绿色建筑理念下住宅建筑设计技术与策略建议</w:t>
          </w:r>
          <w:r>
            <w:rPr>
              <w:rFonts w:hint="eastAsia" w:ascii="黑体" w:hAnsi="黑体" w:eastAsia="黑体" w:cs="黑体"/>
              <w:kern w:val="0"/>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_Toc7721 \h </w:instrText>
          </w:r>
          <w:r>
            <w:rPr>
              <w:rFonts w:hint="eastAsia" w:ascii="Times New Roman" w:hAnsi="Times New Roman" w:eastAsia="黑体" w:cs="Times New Roman"/>
              <w:sz w:val="28"/>
              <w:szCs w:val="28"/>
            </w:rPr>
            <w:fldChar w:fldCharType="separate"/>
          </w:r>
          <w:r>
            <w:rPr>
              <w:rFonts w:ascii="Times New Roman" w:hAnsi="Times New Roman" w:eastAsia="黑体" w:cs="Times New Roman"/>
              <w:sz w:val="28"/>
              <w:szCs w:val="28"/>
            </w:rPr>
            <w:t>7</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"_Toc11834" </w:instrText>
          </w:r>
          <w:r>
            <w:fldChar w:fldCharType="separate"/>
          </w:r>
          <w:r>
            <w:rPr>
              <w:rFonts w:hint="eastAsia" w:ascii="Times New Roman" w:hAnsi="Times New Roman" w:eastAsia="宋体" w:cs="Times New Roman"/>
              <w:sz w:val="24"/>
            </w:rPr>
            <w:t>3.1</w:t>
          </w:r>
          <w:r>
            <w:rPr>
              <w:rFonts w:hint="eastAsia" w:ascii="宋体" w:hAnsi="宋体" w:eastAsia="宋体" w:cs="宋体"/>
              <w:sz w:val="24"/>
            </w:rPr>
            <w:t>绿色技术建议</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_Toc11834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"_Toc8248" </w:instrText>
          </w:r>
          <w:r>
            <w:fldChar w:fldCharType="separate"/>
          </w:r>
          <w:r>
            <w:rPr>
              <w:rFonts w:hint="eastAsia" w:ascii="Times New Roman" w:hAnsi="Times New Roman" w:eastAsia="宋体" w:cs="Times New Roman"/>
              <w:sz w:val="24"/>
            </w:rPr>
            <w:t>3.1.1</w:t>
          </w:r>
          <w:r>
            <w:rPr>
              <w:rFonts w:hint="eastAsia" w:ascii="宋体" w:hAnsi="宋体" w:eastAsia="宋体" w:cs="宋体"/>
              <w:sz w:val="24"/>
            </w:rPr>
            <w:t>广东地区绿色住宅建设特点分析</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_Toc8248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"_Toc13793" </w:instrText>
          </w:r>
          <w:r>
            <w:fldChar w:fldCharType="separate"/>
          </w:r>
          <w:r>
            <w:rPr>
              <w:rFonts w:hint="eastAsia" w:ascii="Times New Roman" w:hAnsi="Times New Roman" w:eastAsia="宋体" w:cs="Times New Roman"/>
              <w:sz w:val="24"/>
            </w:rPr>
            <w:t>3.1.2</w:t>
          </w:r>
          <w:r>
            <w:rPr>
              <w:rFonts w:hint="eastAsia" w:ascii="宋体" w:hAnsi="宋体" w:eastAsia="宋体" w:cs="宋体"/>
              <w:sz w:val="24"/>
            </w:rPr>
            <w:t>广东地区绿色住宅可用绿色技术建议</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_Toc13793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"_Toc31594" </w:instrText>
          </w:r>
          <w:r>
            <w:fldChar w:fldCharType="separate"/>
          </w:r>
          <w:r>
            <w:rPr>
              <w:rFonts w:hint="eastAsia" w:ascii="Times New Roman" w:hAnsi="Times New Roman" w:eastAsia="宋体" w:cs="Times New Roman"/>
              <w:sz w:val="24"/>
            </w:rPr>
            <w:t>3.2</w:t>
          </w:r>
          <w:r>
            <w:rPr>
              <w:rFonts w:hint="eastAsia" w:ascii="宋体" w:hAnsi="宋体" w:eastAsia="宋体" w:cs="宋体"/>
              <w:sz w:val="24"/>
            </w:rPr>
            <w:t>绿色住宅建筑设计策略</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_Toc31594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"_Toc31473" </w:instrText>
          </w:r>
          <w:r>
            <w:fldChar w:fldCharType="separate"/>
          </w:r>
          <w:r>
            <w:rPr>
              <w:rFonts w:hint="eastAsia" w:ascii="Times New Roman" w:hAnsi="Times New Roman" w:eastAsia="宋体" w:cs="Times New Roman"/>
              <w:sz w:val="24"/>
            </w:rPr>
            <w:t>3.2.1</w:t>
          </w:r>
          <w:r>
            <w:rPr>
              <w:rFonts w:hint="eastAsia" w:ascii="宋体" w:hAnsi="宋体" w:eastAsia="宋体" w:cs="宋体"/>
              <w:sz w:val="24"/>
            </w:rPr>
            <w:t>优化空间布局</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_Toc31473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"_Toc8424" </w:instrText>
          </w:r>
          <w:r>
            <w:fldChar w:fldCharType="separate"/>
          </w:r>
          <w:r>
            <w:rPr>
              <w:rFonts w:hint="eastAsia" w:ascii="Times New Roman" w:hAnsi="Times New Roman" w:eastAsia="宋体" w:cs="Times New Roman"/>
              <w:sz w:val="24"/>
            </w:rPr>
            <w:t>3.2.2</w:t>
          </w:r>
          <w:r>
            <w:rPr>
              <w:rFonts w:hint="eastAsia" w:ascii="宋体" w:hAnsi="宋体" w:eastAsia="宋体" w:cs="宋体"/>
              <w:sz w:val="24"/>
            </w:rPr>
            <w:t>户型具体设计及标准层优化</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_Toc8424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"_Toc17032" </w:instrText>
          </w:r>
          <w:r>
            <w:fldChar w:fldCharType="separate"/>
          </w:r>
          <w:r>
            <w:rPr>
              <w:rFonts w:hint="eastAsia" w:ascii="Times New Roman" w:hAnsi="Times New Roman" w:eastAsia="宋体" w:cs="Times New Roman"/>
              <w:sz w:val="24"/>
            </w:rPr>
            <w:t>3.2.3</w:t>
          </w:r>
          <w:r>
            <w:rPr>
              <w:rFonts w:hint="eastAsia" w:ascii="宋体" w:hAnsi="宋体" w:eastAsia="宋体" w:cs="宋体"/>
              <w:sz w:val="24"/>
            </w:rPr>
            <w:t>统筹考虑住宅全寿命周期内设计</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_Toc17032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"_Toc24461" </w:instrText>
          </w:r>
          <w:r>
            <w:fldChar w:fldCharType="separate"/>
          </w:r>
          <w:r>
            <w:rPr>
              <w:rFonts w:hint="eastAsia" w:ascii="Times New Roman" w:hAnsi="Times New Roman" w:eastAsia="宋体" w:cs="Times New Roman"/>
              <w:sz w:val="24"/>
            </w:rPr>
            <w:t>3.3</w:t>
          </w:r>
          <w:r>
            <w:rPr>
              <w:rFonts w:hint="eastAsia" w:ascii="宋体" w:hAnsi="宋体" w:eastAsia="宋体" w:cs="宋体"/>
              <w:sz w:val="24"/>
            </w:rPr>
            <w:t>本章小结</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_Toc24461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"_Toc3462" </w:instrText>
          </w:r>
          <w:r>
            <w:fldChar w:fldCharType="separate"/>
          </w:r>
          <w:r>
            <w:rPr>
              <w:rFonts w:hint="eastAsia" w:ascii="黑体" w:hAnsi="黑体" w:eastAsia="黑体" w:cs="黑体"/>
              <w:kern w:val="0"/>
              <w:sz w:val="28"/>
              <w:szCs w:val="28"/>
            </w:rPr>
            <w:t>第四章 基于《绿色建筑评价标准》二星住宅设计实例分析</w:t>
          </w:r>
          <w:r>
            <w:rPr>
              <w:rFonts w:hint="eastAsia" w:ascii="黑体" w:hAnsi="黑体" w:eastAsia="黑体" w:cs="黑体"/>
              <w:kern w:val="0"/>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_Toc3462 \h </w:instrText>
          </w:r>
          <w:r>
            <w:rPr>
              <w:rFonts w:hint="eastAsia" w:ascii="Times New Roman" w:hAnsi="Times New Roman" w:eastAsia="黑体" w:cs="Times New Roman"/>
              <w:sz w:val="28"/>
              <w:szCs w:val="28"/>
            </w:rPr>
            <w:fldChar w:fldCharType="separate"/>
          </w:r>
          <w:r>
            <w:rPr>
              <w:rFonts w:ascii="Times New Roman" w:hAnsi="Times New Roman" w:eastAsia="黑体" w:cs="Times New Roman"/>
              <w:sz w:val="28"/>
              <w:szCs w:val="28"/>
            </w:rPr>
            <w:t>8</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"_Toc5237" </w:instrText>
          </w:r>
          <w:r>
            <w:fldChar w:fldCharType="separate"/>
          </w:r>
          <w:r>
            <w:rPr>
              <w:rFonts w:hint="eastAsia" w:ascii="Times New Roman" w:hAnsi="Times New Roman" w:eastAsia="宋体" w:cs="Times New Roman"/>
              <w:sz w:val="24"/>
            </w:rPr>
            <w:t>4.1</w:t>
          </w:r>
          <w:r>
            <w:rPr>
              <w:rFonts w:hint="eastAsia" w:ascii="宋体" w:hAnsi="宋体" w:eastAsia="宋体" w:cs="宋体"/>
              <w:sz w:val="24"/>
            </w:rPr>
            <w:t>项目概况</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_Toc5237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"_Toc11592" </w:instrText>
          </w:r>
          <w:r>
            <w:fldChar w:fldCharType="separate"/>
          </w:r>
          <w:r>
            <w:rPr>
              <w:rFonts w:hint="eastAsia" w:ascii="Times New Roman" w:hAnsi="Times New Roman" w:eastAsia="宋体" w:cs="Times New Roman"/>
              <w:sz w:val="24"/>
            </w:rPr>
            <w:t>4.2</w:t>
          </w:r>
          <w:r>
            <w:rPr>
              <w:rFonts w:hint="eastAsia" w:ascii="宋体" w:hAnsi="宋体" w:eastAsia="宋体" w:cs="宋体"/>
              <w:sz w:val="24"/>
            </w:rPr>
            <w:t>设计理念</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_Toc11592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"_Toc31068" </w:instrText>
          </w:r>
          <w:r>
            <w:fldChar w:fldCharType="separate"/>
          </w:r>
          <w:r>
            <w:rPr>
              <w:rFonts w:hint="eastAsia" w:ascii="Times New Roman" w:hAnsi="Times New Roman" w:eastAsia="宋体" w:cs="Times New Roman"/>
              <w:sz w:val="24"/>
            </w:rPr>
            <w:t>4.3</w:t>
          </w:r>
          <w:r>
            <w:rPr>
              <w:rFonts w:hint="eastAsia" w:ascii="宋体" w:hAnsi="宋体" w:eastAsia="宋体" w:cs="宋体"/>
              <w:sz w:val="24"/>
            </w:rPr>
            <w:t>设计方法</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_Toc31068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"_Toc13099" </w:instrText>
          </w:r>
          <w:r>
            <w:fldChar w:fldCharType="separate"/>
          </w:r>
          <w:r>
            <w:rPr>
              <w:rFonts w:hint="eastAsia" w:ascii="Times New Roman" w:hAnsi="Times New Roman" w:eastAsia="宋体" w:cs="Times New Roman"/>
              <w:sz w:val="24"/>
            </w:rPr>
            <w:t>4.3.1</w:t>
          </w:r>
          <w:r>
            <w:rPr>
              <w:rFonts w:hint="eastAsia" w:ascii="宋体" w:hAnsi="宋体" w:eastAsia="宋体" w:cs="宋体"/>
              <w:sz w:val="24"/>
            </w:rPr>
            <w:t>充分回应环境与气候</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_Toc13099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"_Toc18063" </w:instrText>
          </w:r>
          <w:r>
            <w:fldChar w:fldCharType="separate"/>
          </w:r>
          <w:r>
            <w:rPr>
              <w:rFonts w:hint="eastAsia" w:ascii="Times New Roman" w:hAnsi="Times New Roman" w:eastAsia="宋体" w:cs="Times New Roman"/>
              <w:sz w:val="24"/>
            </w:rPr>
            <w:t>4.3.2</w:t>
          </w:r>
          <w:r>
            <w:rPr>
              <w:rFonts w:hint="eastAsia" w:ascii="宋体" w:hAnsi="宋体" w:eastAsia="宋体" w:cs="宋体"/>
              <w:sz w:val="24"/>
            </w:rPr>
            <w:t>设计手法上回归理性、简约</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_Toc18063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"_Toc14619" </w:instrText>
          </w:r>
          <w:r>
            <w:fldChar w:fldCharType="separate"/>
          </w:r>
          <w:r>
            <w:rPr>
              <w:rFonts w:hint="eastAsia" w:ascii="Times New Roman" w:hAnsi="Times New Roman" w:eastAsia="宋体" w:cs="Times New Roman"/>
              <w:sz w:val="24"/>
            </w:rPr>
            <w:t>4.4</w:t>
          </w:r>
          <w:r>
            <w:rPr>
              <w:rFonts w:hint="eastAsia" w:ascii="宋体" w:hAnsi="宋体" w:eastAsia="宋体" w:cs="宋体"/>
              <w:sz w:val="24"/>
            </w:rPr>
            <w:t>基于《绿色建筑评价标准》设计要点</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_Toc14619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"_Toc19899" </w:instrText>
          </w:r>
          <w:r>
            <w:fldChar w:fldCharType="separate"/>
          </w:r>
          <w:r>
            <w:rPr>
              <w:rFonts w:hint="eastAsia" w:ascii="Times New Roman" w:hAnsi="Times New Roman" w:eastAsia="宋体" w:cs="Times New Roman"/>
              <w:sz w:val="24"/>
            </w:rPr>
            <w:t>4.4.</w:t>
          </w:r>
          <w:r>
            <w:rPr>
              <w:rFonts w:hint="eastAsia" w:ascii="宋体" w:hAnsi="宋体" w:eastAsia="宋体" w:cs="宋体"/>
              <w:sz w:val="24"/>
            </w:rPr>
            <w:t>1节地与室外环境</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_Toc19899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"_Toc13252" </w:instrText>
          </w:r>
          <w:r>
            <w:fldChar w:fldCharType="separate"/>
          </w:r>
          <w:r>
            <w:rPr>
              <w:rFonts w:hint="eastAsia" w:ascii="Times New Roman" w:hAnsi="Times New Roman" w:eastAsia="宋体" w:cs="Times New Roman"/>
              <w:sz w:val="24"/>
            </w:rPr>
            <w:t>4.4.</w:t>
          </w:r>
          <w:r>
            <w:rPr>
              <w:rFonts w:hint="eastAsia" w:ascii="宋体" w:hAnsi="宋体" w:eastAsia="宋体" w:cs="宋体"/>
              <w:sz w:val="24"/>
            </w:rPr>
            <w:t>2节能与能源利用</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_Toc13252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"_Toc7136" </w:instrText>
          </w:r>
          <w:r>
            <w:fldChar w:fldCharType="separate"/>
          </w:r>
          <w:r>
            <w:rPr>
              <w:rFonts w:hint="eastAsia" w:ascii="Times New Roman" w:hAnsi="Times New Roman" w:eastAsia="宋体" w:cs="Times New Roman"/>
              <w:sz w:val="24"/>
            </w:rPr>
            <w:t>4.4.3</w:t>
          </w:r>
          <w:r>
            <w:rPr>
              <w:rFonts w:hint="eastAsia" w:ascii="宋体" w:hAnsi="宋体" w:eastAsia="宋体" w:cs="宋体"/>
              <w:sz w:val="24"/>
            </w:rPr>
            <w:t>节水与水资源利用</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_Toc7136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9</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宋体" w:hAnsi="宋体" w:eastAsia="宋体" w:cs="宋体"/>
              <w:sz w:val="24"/>
            </w:rPr>
          </w:pPr>
          <w:r>
            <w:fldChar w:fldCharType="begin"/>
          </w:r>
          <w:r>
            <w:instrText xml:space="preserve"> HYPERLINK \l "_Toc17178" </w:instrText>
          </w:r>
          <w:r>
            <w:fldChar w:fldCharType="separate"/>
          </w:r>
          <w:r>
            <w:rPr>
              <w:rFonts w:hint="eastAsia" w:ascii="Times New Roman" w:hAnsi="Times New Roman" w:eastAsia="宋体" w:cs="Times New Roman"/>
              <w:sz w:val="24"/>
            </w:rPr>
            <w:t>4.4.4</w:t>
          </w:r>
          <w:r>
            <w:rPr>
              <w:rFonts w:hint="eastAsia" w:ascii="宋体" w:hAnsi="宋体" w:eastAsia="宋体" w:cs="宋体"/>
              <w:sz w:val="24"/>
            </w:rPr>
            <w:t>节材与材料资源利用</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_Toc17178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9</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9072"/>
            </w:tabs>
            <w:spacing w:line="360" w:lineRule="auto"/>
            <w:rPr>
              <w:rFonts w:ascii="Times New Roman" w:hAnsi="Times New Roman" w:eastAsia="宋体" w:cs="Times New Roman"/>
              <w:sz w:val="24"/>
            </w:rPr>
          </w:pPr>
          <w:r>
            <w:fldChar w:fldCharType="begin"/>
          </w:r>
          <w:r>
            <w:instrText xml:space="preserve"> HYPERLINK \l "_Toc25646" </w:instrText>
          </w:r>
          <w:r>
            <w:fldChar w:fldCharType="separate"/>
          </w:r>
          <w:r>
            <w:rPr>
              <w:rFonts w:hint="eastAsia" w:ascii="Times New Roman" w:hAnsi="Times New Roman" w:eastAsia="宋体" w:cs="Times New Roman"/>
              <w:sz w:val="24"/>
            </w:rPr>
            <w:t>4.4.5</w:t>
          </w:r>
          <w:r>
            <w:rPr>
              <w:rFonts w:hint="eastAsia" w:ascii="宋体" w:hAnsi="宋体" w:eastAsia="宋体" w:cs="宋体"/>
              <w:sz w:val="24"/>
            </w:rPr>
            <w:t>室内环境质</w:t>
          </w:r>
          <w:r>
            <w:rPr>
              <w:rFonts w:hint="eastAsia" w:ascii="Times New Roman" w:hAnsi="Times New Roman" w:eastAsia="宋体" w:cs="Times New Roman"/>
              <w:sz w:val="24"/>
            </w:rPr>
            <w:t>量</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_Toc25646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9</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5"/>
            <w:tabs>
              <w:tab w:val="right" w:leader="dot" w:pos="9072"/>
            </w:tabs>
            <w:spacing w:line="360" w:lineRule="auto"/>
            <w:rPr>
              <w:rFonts w:ascii="宋体" w:hAnsi="宋体" w:eastAsia="宋体" w:cs="宋体"/>
              <w:sz w:val="24"/>
            </w:rPr>
          </w:pPr>
          <w:r>
            <w:fldChar w:fldCharType="begin"/>
          </w:r>
          <w:r>
            <w:instrText xml:space="preserve"> HYPERLINK \l "_Toc23637" </w:instrText>
          </w:r>
          <w:r>
            <w:fldChar w:fldCharType="separate"/>
          </w:r>
          <w:r>
            <w:rPr>
              <w:rFonts w:hint="eastAsia" w:ascii="Times New Roman" w:hAnsi="Times New Roman" w:eastAsia="宋体" w:cs="Times New Roman"/>
              <w:sz w:val="24"/>
            </w:rPr>
            <w:t>4.5</w:t>
          </w:r>
          <w:r>
            <w:rPr>
              <w:rFonts w:hint="eastAsia" w:ascii="宋体" w:hAnsi="宋体" w:eastAsia="宋体" w:cs="宋体"/>
              <w:sz w:val="24"/>
            </w:rPr>
            <w:t xml:space="preserve"> 本章小结</w:t>
          </w:r>
          <w:r>
            <w:rPr>
              <w:rFonts w:hint="eastAsia" w:ascii="宋体" w:hAnsi="宋体" w:eastAsia="宋体" w:cs="宋体"/>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_Toc23637 \h </w:instrText>
          </w:r>
          <w:r>
            <w:rPr>
              <w:rFonts w:hint="eastAsia" w:ascii="Times New Roman" w:hAnsi="Times New Roman" w:eastAsia="宋体" w:cs="Times New Roman"/>
              <w:sz w:val="24"/>
            </w:rPr>
            <w:fldChar w:fldCharType="separate"/>
          </w:r>
          <w:r>
            <w:rPr>
              <w:rFonts w:ascii="Times New Roman" w:hAnsi="Times New Roman" w:eastAsia="宋体" w:cs="Times New Roman"/>
              <w:sz w:val="24"/>
            </w:rPr>
            <w:t>9</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"_Toc17062" </w:instrText>
          </w:r>
          <w:r>
            <w:fldChar w:fldCharType="separate"/>
          </w:r>
          <w:r>
            <w:rPr>
              <w:rFonts w:hint="eastAsia" w:ascii="黑体" w:hAnsi="黑体" w:eastAsia="黑体" w:cs="黑体"/>
              <w:kern w:val="0"/>
              <w:sz w:val="28"/>
              <w:szCs w:val="28"/>
            </w:rPr>
            <w:t>结  论</w:t>
          </w:r>
          <w:r>
            <w:rPr>
              <w:rFonts w:hint="eastAsia" w:ascii="黑体" w:hAnsi="黑体" w:eastAsia="黑体" w:cs="黑体"/>
              <w:kern w:val="0"/>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_Toc17062 \h </w:instrText>
          </w:r>
          <w:r>
            <w:rPr>
              <w:rFonts w:hint="eastAsia" w:ascii="Times New Roman" w:hAnsi="Times New Roman" w:eastAsia="黑体" w:cs="Times New Roman"/>
              <w:sz w:val="28"/>
              <w:szCs w:val="28"/>
            </w:rPr>
            <w:fldChar w:fldCharType="separate"/>
          </w:r>
          <w:r>
            <w:rPr>
              <w:rFonts w:ascii="Times New Roman" w:hAnsi="Times New Roman" w:eastAsia="黑体" w:cs="Times New Roman"/>
              <w:sz w:val="28"/>
              <w:szCs w:val="28"/>
            </w:rPr>
            <w:t>10</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"_Toc16532" </w:instrText>
          </w:r>
          <w:r>
            <w:fldChar w:fldCharType="separate"/>
          </w:r>
          <w:r>
            <w:rPr>
              <w:rFonts w:hint="eastAsia" w:ascii="黑体" w:hAnsi="黑体" w:eastAsia="黑体" w:cs="黑体"/>
              <w:kern w:val="0"/>
              <w:sz w:val="28"/>
              <w:szCs w:val="28"/>
            </w:rPr>
            <w:t>参考文献</w:t>
          </w:r>
          <w:r>
            <w:rPr>
              <w:rFonts w:hint="eastAsia" w:ascii="黑体" w:hAnsi="黑体" w:eastAsia="黑体" w:cs="黑体"/>
              <w:kern w:val="0"/>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_Toc16532 \h </w:instrText>
          </w:r>
          <w:r>
            <w:rPr>
              <w:rFonts w:hint="eastAsia" w:ascii="Times New Roman" w:hAnsi="Times New Roman" w:eastAsia="黑体" w:cs="Times New Roman"/>
              <w:sz w:val="28"/>
              <w:szCs w:val="28"/>
            </w:rPr>
            <w:fldChar w:fldCharType="separate"/>
          </w:r>
          <w:r>
            <w:rPr>
              <w:rFonts w:ascii="Times New Roman" w:hAnsi="Times New Roman" w:eastAsia="黑体" w:cs="Times New Roman"/>
              <w:sz w:val="28"/>
              <w:szCs w:val="28"/>
            </w:rPr>
            <w:t>11</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fldChar w:fldCharType="end"/>
          </w:r>
        </w:p>
        <w:p>
          <w:pPr>
            <w:pStyle w:val="12"/>
            <w:tabs>
              <w:tab w:val="right" w:leader="dot" w:pos="9072"/>
            </w:tabs>
            <w:spacing w:line="360" w:lineRule="auto"/>
            <w:rPr>
              <w:rFonts w:ascii="黑体" w:hAnsi="黑体" w:eastAsia="黑体" w:cs="黑体"/>
              <w:kern w:val="0"/>
              <w:sz w:val="28"/>
              <w:szCs w:val="28"/>
            </w:rPr>
          </w:pPr>
          <w:r>
            <w:fldChar w:fldCharType="begin"/>
          </w:r>
          <w:r>
            <w:instrText xml:space="preserve"> HYPERLINK \l "_Toc7325" </w:instrText>
          </w:r>
          <w:r>
            <w:fldChar w:fldCharType="separate"/>
          </w:r>
          <w:r>
            <w:rPr>
              <w:rFonts w:hint="eastAsia" w:ascii="黑体" w:hAnsi="黑体" w:eastAsia="黑体" w:cs="黑体"/>
              <w:kern w:val="0"/>
              <w:sz w:val="28"/>
              <w:szCs w:val="28"/>
            </w:rPr>
            <w:t>致  谢</w:t>
          </w:r>
          <w:r>
            <w:rPr>
              <w:rFonts w:hint="eastAsia" w:ascii="黑体" w:hAnsi="黑体" w:eastAsia="黑体" w:cs="黑体"/>
              <w:kern w:val="0"/>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_Toc7325 \h </w:instrText>
          </w:r>
          <w:r>
            <w:rPr>
              <w:rFonts w:hint="eastAsia" w:ascii="Times New Roman" w:hAnsi="Times New Roman" w:eastAsia="黑体" w:cs="Times New Roman"/>
              <w:sz w:val="28"/>
              <w:szCs w:val="28"/>
            </w:rPr>
            <w:fldChar w:fldCharType="separate"/>
          </w:r>
          <w:r>
            <w:rPr>
              <w:rFonts w:ascii="Times New Roman" w:hAnsi="Times New Roman" w:eastAsia="黑体" w:cs="Times New Roman"/>
              <w:sz w:val="28"/>
              <w:szCs w:val="28"/>
            </w:rPr>
            <w:t>13</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fldChar w:fldCharType="end"/>
          </w:r>
        </w:p>
        <w:p>
          <w:pPr>
            <w:pStyle w:val="29"/>
            <w:tabs>
              <w:tab w:val="right" w:leader="dot" w:pos="9072"/>
            </w:tabs>
            <w:spacing w:line="360" w:lineRule="auto"/>
          </w:pPr>
          <w:r>
            <w:rPr>
              <w:rFonts w:hint="eastAsia" w:ascii="宋体" w:hAnsi="宋体" w:cs="宋体"/>
              <w:szCs w:val="24"/>
            </w:rPr>
            <w:fldChar w:fldCharType="end"/>
          </w:r>
          <w:bookmarkStart w:id="22" w:name="_Toc5614"/>
          <w:bookmarkStart w:id="23" w:name="_Toc18931209"/>
          <w:bookmarkStart w:id="24" w:name="_Toc797"/>
          <w:bookmarkStart w:id="25" w:name="_Toc17846"/>
          <w:bookmarkStart w:id="26" w:name="_Toc23582"/>
          <w:bookmarkStart w:id="27" w:name="_Toc21358"/>
        </w:p>
      </w:sdtContent>
    </w:sdt>
    <w:p>
      <w:pPr>
        <w:rPr>
          <w:rFonts w:hint="eastAsia" w:ascii="黑体" w:hAnsi="黑体" w:eastAsia="黑体" w:cs="黑体"/>
          <w:sz w:val="36"/>
          <w:szCs w:val="36"/>
        </w:rPr>
      </w:pPr>
      <w:r>
        <w:rPr>
          <w:rFonts w:hint="eastAsia" w:ascii="黑体" w:hAnsi="黑体" w:eastAsia="黑体" w:cs="黑体"/>
          <w:sz w:val="36"/>
          <w:szCs w:val="36"/>
        </w:rPr>
        <w:br w:type="page"/>
      </w:r>
    </w:p>
    <w:p>
      <w:pPr>
        <w:pStyle w:val="2"/>
        <w:spacing w:before="333" w:beforeLines="100" w:after="333" w:afterLines="100" w:line="360" w:lineRule="auto"/>
        <w:jc w:val="center"/>
        <w:rPr>
          <w:sz w:val="36"/>
          <w:szCs w:val="36"/>
        </w:rPr>
      </w:pPr>
      <w:r>
        <w:rPr>
          <w:rFonts w:hint="eastAsia" w:ascii="黑体" w:hAnsi="黑体" w:eastAsia="黑体" w:cs="黑体"/>
          <w:sz w:val="36"/>
          <w:szCs w:val="36"/>
        </w:rPr>
        <w:t>第一章 绪论</w:t>
      </w:r>
      <w:bookmarkEnd w:id="22"/>
      <w:bookmarkEnd w:id="23"/>
      <w:bookmarkEnd w:id="24"/>
      <w:bookmarkEnd w:id="25"/>
      <w:bookmarkEnd w:id="26"/>
      <w:bookmarkEnd w:id="27"/>
    </w:p>
    <w:p>
      <w:pPr>
        <w:pStyle w:val="3"/>
        <w:spacing w:before="166" w:beforeLines="50" w:after="163" w:line="360" w:lineRule="auto"/>
        <w:jc w:val="left"/>
        <w:rPr>
          <w:rFonts w:cs="黑体"/>
          <w:color w:val="000000"/>
          <w:sz w:val="30"/>
          <w:szCs w:val="30"/>
        </w:rPr>
      </w:pPr>
      <w:bookmarkStart w:id="28" w:name="_Toc9796"/>
      <w:bookmarkStart w:id="29" w:name="_Toc6891"/>
      <w:bookmarkStart w:id="30" w:name="_Toc30778"/>
      <w:bookmarkStart w:id="31" w:name="_Toc27342"/>
      <w:bookmarkStart w:id="32" w:name="_Toc19504"/>
      <w:bookmarkStart w:id="33" w:name="_Toc394"/>
      <w:bookmarkStart w:id="34" w:name="_Toc27169074"/>
      <w:bookmarkStart w:id="35" w:name="_Toc29744378"/>
      <w:bookmarkStart w:id="36" w:name="_Toc39604729"/>
      <w:bookmarkStart w:id="37" w:name="_Toc27170590"/>
      <w:bookmarkStart w:id="38" w:name="_Toc360134504"/>
      <w:bookmarkStart w:id="39" w:name="_Toc187287902"/>
      <w:bookmarkStart w:id="40" w:name="_Toc27169223"/>
      <w:r>
        <w:rPr>
          <w:rFonts w:ascii="Times New Roman" w:hAnsi="Times New Roman" w:cs="Times New Roman"/>
          <w:color w:val="000000"/>
          <w:sz w:val="30"/>
          <w:szCs w:val="30"/>
        </w:rPr>
        <w:t>1.1</w:t>
      </w:r>
      <w:r>
        <w:rPr>
          <w:rFonts w:hint="eastAsia" w:cs="黑体"/>
          <w:color w:val="000000"/>
          <w:sz w:val="30"/>
          <w:szCs w:val="30"/>
        </w:rPr>
        <w:t>研究的背景和意义</w:t>
      </w:r>
      <w:bookmarkEnd w:id="28"/>
      <w:bookmarkEnd w:id="29"/>
      <w:bookmarkEnd w:id="30"/>
      <w:bookmarkEnd w:id="31"/>
      <w:bookmarkEnd w:id="32"/>
      <w:bookmarkEnd w:id="33"/>
    </w:p>
    <w:p>
      <w:pPr>
        <w:pStyle w:val="4"/>
        <w:spacing w:before="166" w:beforeLines="50" w:after="166" w:afterLines="50" w:line="360" w:lineRule="auto"/>
        <w:ind w:left="720" w:hanging="720"/>
        <w:rPr>
          <w:rFonts w:cs="黑体"/>
          <w:color w:val="000000"/>
          <w:szCs w:val="28"/>
        </w:rPr>
      </w:pPr>
      <w:bookmarkStart w:id="41" w:name="_Toc23008"/>
      <w:bookmarkStart w:id="42" w:name="_Toc7368"/>
      <w:bookmarkStart w:id="43" w:name="_Toc20546"/>
      <w:bookmarkStart w:id="44" w:name="_Toc473"/>
      <w:bookmarkStart w:id="45" w:name="_Toc14377"/>
      <w:bookmarkStart w:id="46" w:name="_Toc12901"/>
      <w:r>
        <w:rPr>
          <w:rFonts w:ascii="Times New Roman" w:hAnsi="Times New Roman" w:cs="Times New Roman"/>
          <w:color w:val="000000"/>
          <w:szCs w:val="28"/>
        </w:rPr>
        <w:t>1.1.1</w:t>
      </w:r>
      <w:r>
        <w:rPr>
          <w:rFonts w:hint="eastAsia" w:cs="黑体"/>
          <w:color w:val="000000"/>
          <w:szCs w:val="28"/>
        </w:rPr>
        <w:t>研究背景</w:t>
      </w:r>
      <w:bookmarkEnd w:id="41"/>
      <w:bookmarkEnd w:id="42"/>
      <w:bookmarkEnd w:id="43"/>
      <w:bookmarkEnd w:id="44"/>
      <w:bookmarkEnd w:id="45"/>
      <w:bookmarkEnd w:id="46"/>
    </w:p>
    <w:bookmarkEnd w:id="34"/>
    <w:bookmarkEnd w:id="35"/>
    <w:bookmarkEnd w:id="36"/>
    <w:bookmarkEnd w:id="37"/>
    <w:bookmarkEnd w:id="38"/>
    <w:bookmarkEnd w:id="39"/>
    <w:bookmarkEnd w:id="40"/>
    <w:p>
      <w:pPr>
        <w:adjustRightInd w:val="0"/>
        <w:spacing w:line="360" w:lineRule="auto"/>
        <w:ind w:firstLine="480" w:firstLineChars="200"/>
        <w:jc w:val="left"/>
        <w:rPr>
          <w:rFonts w:asciiTheme="minorEastAsia" w:hAnsiTheme="minorEastAsia" w:cstheme="minorEastAsia"/>
          <w:sz w:val="24"/>
          <w:lang w:bidi="ar"/>
        </w:rPr>
      </w:pPr>
      <w:bookmarkStart w:id="47" w:name="_Toc16428"/>
      <w:bookmarkStart w:id="48" w:name="_Toc7276909"/>
      <w:bookmarkStart w:id="49" w:name="_Toc5656333"/>
      <w:r>
        <w:rPr>
          <w:rFonts w:hint="eastAsia" w:ascii="宋体" w:hAnsi="宋体" w:cs="宋体"/>
          <w:sz w:val="24"/>
          <w:lang w:bidi="ar"/>
        </w:rPr>
        <w:t>随着社会的不断进步，生态理念和环保思想的不断推动，尤其是能源危机爆发后，发展绿色建筑已成为全球共识，绿色建筑也成为建筑发展的先导。根据美国</w:t>
      </w:r>
      <w:r>
        <w:rPr>
          <w:rFonts w:ascii="Times New Roman" w:hAnsi="Times New Roman" w:cs="Times New Roman"/>
          <w:sz w:val="24"/>
          <w:lang w:bidi="ar"/>
        </w:rPr>
        <w:t>Mr Graw Hill Construction</w:t>
      </w:r>
      <w:r>
        <w:rPr>
          <w:rFonts w:hint="eastAsia" w:asciiTheme="minorEastAsia" w:hAnsiTheme="minorEastAsia" w:cstheme="minorEastAsia"/>
          <w:sz w:val="24"/>
          <w:lang w:bidi="ar"/>
        </w:rPr>
        <w:t xml:space="preserve"> 项目研究资料表明，建筑业消耗能耗目前居整个社会能耗的首位，占比高达一半以上，碳排放总量也居首位，高达总量三分之一。类似相关的调查还有很多，这些调查数据无一不体现建筑业的飞速发展是以资源巨大损耗和环境巨大污染为代价换取，这与绿色建筑发展的初衷严重相悖，也一定程度上制约了建筑未来可持续发展。目前，随着全球对于环保节能的重视，越来越多的国家和地区通过制定相关措施和制度去大力发展绿色建筑</w:t>
      </w:r>
      <w:r>
        <w:rPr>
          <w:rFonts w:ascii="Times New Roman" w:hAnsi="Times New Roman" w:cs="Times New Roman"/>
          <w:sz w:val="24"/>
          <w:vertAlign w:val="superscript"/>
          <w:lang w:bidi="ar"/>
        </w:rPr>
        <w:t>[1]</w:t>
      </w:r>
      <w:r>
        <w:rPr>
          <w:rFonts w:hint="eastAsia" w:asciiTheme="minorEastAsia" w:hAnsiTheme="minorEastAsia" w:cstheme="minorEastAsia"/>
          <w:sz w:val="24"/>
          <w:lang w:bidi="ar"/>
        </w:rPr>
        <w:t>。</w:t>
      </w:r>
      <w:r>
        <w:rPr>
          <w:rFonts w:ascii="Times New Roman" w:hAnsi="Times New Roman" w:cs="Times New Roman"/>
          <w:sz w:val="24"/>
          <w:lang w:bidi="ar"/>
        </w:rPr>
        <w:t>20</w:t>
      </w:r>
      <w:r>
        <w:rPr>
          <w:rFonts w:hint="eastAsia" w:asciiTheme="minorEastAsia" w:hAnsiTheme="minorEastAsia" w:cstheme="minorEastAsia"/>
          <w:sz w:val="24"/>
          <w:lang w:bidi="ar"/>
        </w:rPr>
        <w:t>世纪</w:t>
      </w:r>
      <w:r>
        <w:rPr>
          <w:rFonts w:hint="eastAsia" w:ascii="Times New Roman" w:hAnsi="Times New Roman" w:cs="Times New Roman"/>
          <w:sz w:val="24"/>
          <w:lang w:bidi="ar"/>
        </w:rPr>
        <w:t>70</w:t>
      </w:r>
      <w:r>
        <w:rPr>
          <w:rFonts w:hint="eastAsia" w:asciiTheme="minorEastAsia" w:hAnsiTheme="minorEastAsia" w:cstheme="minorEastAsia"/>
          <w:sz w:val="24"/>
          <w:lang w:bidi="ar"/>
        </w:rPr>
        <w:t>年代，一些发达国家已经开始注重低能耗建筑建设，提出低能耗建筑的建设需求，如美国、加拿大这些国家已经也相继提出绿色建筑发展先行理念，并制定和出台绿色建筑标准和相关支撑规范文件。我国也在</w:t>
      </w:r>
      <w:r>
        <w:rPr>
          <w:rFonts w:hint="eastAsia" w:ascii="Times New Roman" w:hAnsi="Times New Roman" w:cs="Times New Roman"/>
          <w:sz w:val="24"/>
          <w:lang w:bidi="ar"/>
        </w:rPr>
        <w:t>2006</w:t>
      </w:r>
      <w:r>
        <w:rPr>
          <w:rFonts w:hint="eastAsia" w:asciiTheme="minorEastAsia" w:hAnsiTheme="minorEastAsia" w:cstheme="minorEastAsia"/>
          <w:sz w:val="24"/>
          <w:lang w:bidi="ar"/>
        </w:rPr>
        <w:t>年开始正式颁布《绿色建筑评价标准》……</w:t>
      </w:r>
    </w:p>
    <w:bookmarkEnd w:id="47"/>
    <w:bookmarkEnd w:id="48"/>
    <w:bookmarkEnd w:id="49"/>
    <w:p>
      <w:pPr>
        <w:pStyle w:val="4"/>
        <w:spacing w:before="166" w:beforeLines="50" w:after="166" w:afterLines="50" w:line="360" w:lineRule="auto"/>
        <w:ind w:left="720" w:hanging="720"/>
        <w:rPr>
          <w:rFonts w:ascii="Times New Roman" w:hAnsi="Times New Roman" w:cs="Times New Roman"/>
          <w:color w:val="000000"/>
          <w:szCs w:val="28"/>
        </w:rPr>
        <w:sectPr>
          <w:headerReference r:id="rId8" w:type="first"/>
          <w:footerReference r:id="rId10" w:type="first"/>
          <w:footerReference r:id="rId9" w:type="default"/>
          <w:pgSz w:w="11906" w:h="16838"/>
          <w:pgMar w:top="1417" w:right="1417" w:bottom="1417" w:left="1417" w:header="851" w:footer="850" w:gutter="0"/>
          <w:pgNumType w:start="1"/>
          <w:cols w:space="0" w:num="1"/>
          <w:titlePg/>
          <w:docGrid w:type="lines" w:linePitch="333" w:charSpace="0"/>
        </w:sectPr>
      </w:pPr>
      <w:bookmarkStart w:id="50" w:name="_Toc2584"/>
      <w:bookmarkStart w:id="51" w:name="_Toc17907"/>
      <w:bookmarkStart w:id="52" w:name="_Toc6255"/>
      <w:bookmarkStart w:id="53" w:name="_Toc5251"/>
      <w:bookmarkStart w:id="54" w:name="_Toc17769"/>
    </w:p>
    <w:p>
      <w:pPr>
        <w:pStyle w:val="4"/>
        <w:spacing w:before="166" w:beforeLines="50" w:after="166" w:afterLines="50" w:line="360" w:lineRule="auto"/>
        <w:ind w:left="720" w:hanging="720"/>
        <w:rPr>
          <w:rFonts w:cs="黑体"/>
          <w:color w:val="000000"/>
          <w:szCs w:val="28"/>
        </w:rPr>
      </w:pPr>
      <w:bookmarkStart w:id="55" w:name="_Toc28494"/>
      <w:r>
        <w:rPr>
          <w:rFonts w:hint="eastAsia" w:ascii="Times New Roman" w:hAnsi="Times New Roman" w:cs="Times New Roman"/>
          <w:color w:val="000000"/>
          <w:szCs w:val="28"/>
        </w:rPr>
        <w:t>1.1.2</w:t>
      </w:r>
      <w:r>
        <w:rPr>
          <w:rFonts w:hint="eastAsia" w:cs="黑体"/>
          <w:color w:val="000000"/>
          <w:szCs w:val="28"/>
        </w:rPr>
        <w:t>研究的意义</w:t>
      </w:r>
      <w:bookmarkEnd w:id="50"/>
      <w:bookmarkEnd w:id="51"/>
      <w:bookmarkEnd w:id="52"/>
      <w:bookmarkEnd w:id="53"/>
      <w:bookmarkEnd w:id="54"/>
      <w:bookmarkEnd w:id="55"/>
      <w:r>
        <w:rPr>
          <w:rFonts w:hint="eastAsia" w:cs="黑体"/>
          <w:color w:val="000000"/>
          <w:szCs w:val="28"/>
        </w:rPr>
        <w:t xml:space="preserve"> </w:t>
      </w:r>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我国自颁发《绿色建筑评价标准》以来，绿色建筑在这些政策推动下取得了一定的成就，但在肯定成绩的同时，还需要不断针对绿色建筑发展中存在的问题，尤其设计问题进行反思与总结，并针对问题提出改善措施，有效推动绿色建筑有序发展，具有重要的意义。目前在我国绿色建筑发展过程中，最大的问题是设计人才缺乏问题，真正懂得绿色建筑整合设计的建筑人才不多，很多建筑设计人员对绿色建筑理念理解不够，创新意识不强，很多只是机械按照相关标准进行套用。由此，本文主要从“绿色建筑设计的核心和关键设计要素”出发，紧扣绿色建筑设计问题，全面系统提出绿色建筑设计策略，进而有效提升绿色建筑设计整体水平，具有重要的意义。</w:t>
      </w:r>
    </w:p>
    <w:p>
      <w:pPr>
        <w:pStyle w:val="3"/>
        <w:spacing w:before="166" w:beforeLines="50" w:after="163" w:line="360" w:lineRule="auto"/>
        <w:jc w:val="left"/>
        <w:rPr>
          <w:rFonts w:cs="黑体"/>
          <w:color w:val="000000"/>
          <w:sz w:val="30"/>
          <w:szCs w:val="30"/>
        </w:rPr>
      </w:pPr>
      <w:bookmarkStart w:id="56" w:name="_Toc19357"/>
      <w:bookmarkStart w:id="57" w:name="_Toc9925"/>
      <w:bookmarkStart w:id="58" w:name="_Toc10729"/>
      <w:bookmarkStart w:id="59" w:name="_Toc16404"/>
      <w:bookmarkStart w:id="60" w:name="_Toc8942"/>
      <w:bookmarkStart w:id="61" w:name="_Toc14666"/>
      <w:r>
        <w:rPr>
          <w:rFonts w:hint="eastAsia" w:ascii="Times New Roman" w:hAnsi="Times New Roman" w:cs="Times New Roman"/>
          <w:color w:val="000000"/>
          <w:sz w:val="30"/>
          <w:szCs w:val="30"/>
        </w:rPr>
        <w:t>1.2</w:t>
      </w:r>
      <w:r>
        <w:rPr>
          <w:rFonts w:hint="eastAsia" w:cs="黑体"/>
          <w:color w:val="000000"/>
          <w:sz w:val="30"/>
          <w:szCs w:val="30"/>
        </w:rPr>
        <w:t>绿色建筑国内外研究现状</w:t>
      </w:r>
      <w:bookmarkEnd w:id="56"/>
      <w:bookmarkEnd w:id="57"/>
      <w:bookmarkEnd w:id="58"/>
      <w:bookmarkEnd w:id="59"/>
      <w:bookmarkEnd w:id="60"/>
      <w:bookmarkEnd w:id="61"/>
    </w:p>
    <w:p>
      <w:pPr>
        <w:pStyle w:val="4"/>
        <w:spacing w:before="166" w:beforeLines="50" w:after="166" w:afterLines="50" w:line="360" w:lineRule="auto"/>
        <w:ind w:left="720" w:hanging="720"/>
        <w:rPr>
          <w:rFonts w:cs="黑体"/>
          <w:color w:val="000000"/>
          <w:szCs w:val="28"/>
        </w:rPr>
      </w:pPr>
      <w:bookmarkStart w:id="62" w:name="_Toc2232"/>
      <w:bookmarkStart w:id="63" w:name="_Toc5189"/>
      <w:bookmarkStart w:id="64" w:name="_Toc8620"/>
      <w:bookmarkStart w:id="65" w:name="_Toc24537"/>
      <w:bookmarkStart w:id="66" w:name="_Toc18689"/>
      <w:bookmarkStart w:id="67" w:name="_Toc22878"/>
      <w:r>
        <w:rPr>
          <w:rFonts w:hint="eastAsia" w:ascii="Times New Roman" w:hAnsi="Times New Roman" w:cs="Times New Roman"/>
          <w:color w:val="000000"/>
          <w:szCs w:val="28"/>
        </w:rPr>
        <w:t>1.2.1</w:t>
      </w:r>
      <w:r>
        <w:rPr>
          <w:rFonts w:hint="eastAsia" w:cs="黑体"/>
          <w:color w:val="000000"/>
          <w:szCs w:val="28"/>
        </w:rPr>
        <w:t>国外研究现状</w:t>
      </w:r>
      <w:bookmarkEnd w:id="62"/>
      <w:bookmarkEnd w:id="63"/>
      <w:bookmarkEnd w:id="64"/>
      <w:bookmarkEnd w:id="65"/>
      <w:bookmarkEnd w:id="66"/>
      <w:bookmarkEnd w:id="67"/>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发达国家在绿色建筑研究上可以用日新月异来形容，这些国家在绿色生态建筑设计方面研究的专著较多，且具有较高的现实参考价值。这些专著着力于推动绿色建筑技术和方法的革新，对绿色建筑设计的理念和技术进行系统性研究创新，凸显在设计过程中对于地区气候和自然环境的利用，充分发挥建筑本体自身调节的作用，同时借助新材料和新能源一体化开发利用，整体促进节能目标实现</w:t>
      </w:r>
      <w:r>
        <w:rPr>
          <w:rFonts w:hint="eastAsia"/>
          <w:sz w:val="24"/>
          <w:vertAlign w:val="superscript"/>
          <w:lang w:bidi="ar"/>
        </w:rPr>
        <w:t>[</w:t>
      </w:r>
      <w:r>
        <w:rPr>
          <w:rFonts w:ascii="Times New Roman" w:hAnsi="Times New Roman" w:cs="Times New Roman"/>
          <w:sz w:val="24"/>
          <w:vertAlign w:val="superscript"/>
          <w:lang w:bidi="ar"/>
        </w:rPr>
        <w:t>2</w:t>
      </w:r>
      <w:r>
        <w:rPr>
          <w:sz w:val="24"/>
          <w:vertAlign w:val="superscript"/>
          <w:lang w:bidi="ar"/>
        </w:rPr>
        <w:t>]</w:t>
      </w:r>
      <w:r>
        <w:rPr>
          <w:rFonts w:hint="eastAsia" w:asciiTheme="minorEastAsia" w:hAnsiTheme="minorEastAsia" w:cstheme="minorEastAsia"/>
          <w:sz w:val="24"/>
          <w:lang w:bidi="ar"/>
        </w:rPr>
        <w:t>。……</w:t>
      </w:r>
      <w:bookmarkStart w:id="68" w:name="_Toc29864"/>
      <w:bookmarkStart w:id="69" w:name="_Toc628"/>
    </w:p>
    <w:p>
      <w:pPr>
        <w:pStyle w:val="4"/>
        <w:spacing w:before="166" w:beforeLines="50" w:after="166" w:afterLines="50"/>
      </w:pPr>
      <w:bookmarkStart w:id="70" w:name="_Toc31205"/>
      <w:bookmarkStart w:id="71" w:name="_Toc29604"/>
      <w:bookmarkStart w:id="72" w:name="_Toc25350"/>
      <w:bookmarkStart w:id="73" w:name="_Toc8222"/>
      <w:r>
        <w:rPr>
          <w:rFonts w:hint="eastAsia" w:ascii="Times New Roman" w:hAnsi="Times New Roman" w:cs="Times New Roman"/>
          <w:color w:val="000000"/>
          <w:szCs w:val="28"/>
        </w:rPr>
        <w:t>1.2.2</w:t>
      </w:r>
      <w:r>
        <w:rPr>
          <w:rFonts w:hint="eastAsia"/>
        </w:rPr>
        <w:t>国内研究现状</w:t>
      </w:r>
      <w:bookmarkEnd w:id="68"/>
      <w:bookmarkEnd w:id="69"/>
      <w:bookmarkEnd w:id="70"/>
      <w:bookmarkEnd w:id="71"/>
      <w:bookmarkEnd w:id="72"/>
      <w:bookmarkEnd w:id="73"/>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我国对于绿色建筑非常重视，相关学者对建筑绿色问题的关注可追溯到</w:t>
      </w:r>
      <w:r>
        <w:rPr>
          <w:rFonts w:hint="eastAsia" w:ascii="Times New Roman" w:hAnsi="Times New Roman" w:cs="Times New Roman"/>
          <w:sz w:val="24"/>
          <w:lang w:bidi="ar"/>
        </w:rPr>
        <w:t>1982</w:t>
      </w:r>
      <w:r>
        <w:rPr>
          <w:rFonts w:hint="eastAsia" w:asciiTheme="minorEastAsia" w:hAnsiTheme="minorEastAsia" w:cstheme="minorEastAsia"/>
          <w:sz w:val="24"/>
          <w:lang w:bidi="ar"/>
        </w:rPr>
        <w:t>年李道增教授的《重视生态原则在规划中的运用》研究，李教授在研究中重点通过国内案例阐述在建筑项目应用绿色生态理念的重要性……。</w:t>
      </w:r>
    </w:p>
    <w:p>
      <w:pPr>
        <w:adjustRightInd w:val="0"/>
        <w:spacing w:line="360" w:lineRule="auto"/>
        <w:ind w:firstLine="480" w:firstLineChars="200"/>
        <w:jc w:val="left"/>
        <w:rPr>
          <w:rFonts w:ascii="宋体" w:hAnsi="宋体" w:cs="宋体"/>
          <w:sz w:val="24"/>
          <w:lang w:bidi="ar"/>
        </w:rPr>
      </w:pPr>
      <w:r>
        <w:rPr>
          <w:rFonts w:hint="eastAsia" w:asciiTheme="minorEastAsia" w:hAnsiTheme="minorEastAsia" w:cstheme="minorEastAsia"/>
          <w:sz w:val="24"/>
          <w:lang w:bidi="ar"/>
        </w:rPr>
        <w:t>从我国相关学者研究的内容和特征分析，大体遵循的是“理论体系构建-案例实践检验-理论总结与深化-实践应用改善”的研究轨迹，研究特点大多偏向绿色建筑设计与技术整体设计等</w:t>
      </w:r>
      <w:r>
        <w:rPr>
          <w:rFonts w:ascii="Times New Roman" w:hAnsi="Times New Roman" w:cs="Times New Roman"/>
          <w:sz w:val="24"/>
          <w:vertAlign w:val="superscript"/>
          <w:lang w:bidi="ar"/>
        </w:rPr>
        <w:t>[4]</w:t>
      </w:r>
      <w:r>
        <w:rPr>
          <w:rFonts w:hint="eastAsia" w:asciiTheme="minorEastAsia" w:hAnsiTheme="minorEastAsia" w:cstheme="minorEastAsia"/>
          <w:sz w:val="24"/>
          <w:lang w:bidi="ar"/>
        </w:rPr>
        <w:t>，一些研究成果实践意义相对欠缺。目前从我国的绿色建筑的一系列的实践项目分析，在住宅项目方面，首批“全国绿色生态住宅示范项目”中的北京当代万国城和上海第一个生态型住宅社区万科朗润园设计较为成功等等（如图</w:t>
      </w:r>
      <w:r>
        <w:rPr>
          <w:rFonts w:ascii="Times New Roman" w:hAnsi="Times New Roman" w:cs="Times New Roman"/>
          <w:sz w:val="24"/>
          <w:lang w:bidi="ar"/>
        </w:rPr>
        <w:t>1-1</w:t>
      </w:r>
      <w:r>
        <w:rPr>
          <w:rFonts w:hint="eastAsia" w:asciiTheme="minorEastAsia" w:hAnsiTheme="minorEastAsia" w:cstheme="minorEastAsia"/>
          <w:sz w:val="24"/>
          <w:lang w:bidi="ar"/>
        </w:rPr>
        <w:t>），这些优秀的案例一定程度上能为我国绿色建筑设计推广奠定了丰富的实践基础和借鉴意义。</w:t>
      </w:r>
    </w:p>
    <w:p>
      <w:pPr>
        <w:adjustRightInd w:val="0"/>
        <w:spacing w:line="720" w:lineRule="auto"/>
        <w:jc w:val="center"/>
        <w:rPr>
          <w:rFonts w:ascii="宋体" w:hAnsi="宋体" w:cs="宋体"/>
        </w:rPr>
      </w:pPr>
      <w:r>
        <w:rPr>
          <w:rFonts w:ascii="宋体" w:hAnsi="宋体" w:cs="宋体"/>
          <w:sz w:val="24"/>
        </w:rPr>
        <w:drawing>
          <wp:anchor distT="0" distB="0" distL="114300" distR="114300" simplePos="0" relativeHeight="251659264" behindDoc="1" locked="0" layoutInCell="1" allowOverlap="1">
            <wp:simplePos x="0" y="0"/>
            <wp:positionH relativeFrom="column">
              <wp:posOffset>518160</wp:posOffset>
            </wp:positionH>
            <wp:positionV relativeFrom="paragraph">
              <wp:posOffset>109220</wp:posOffset>
            </wp:positionV>
            <wp:extent cx="4679315" cy="1404620"/>
            <wp:effectExtent l="0" t="0" r="14605" b="12700"/>
            <wp:wrapNone/>
            <wp:docPr id="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6"/>
                    <pic:cNvPicPr>
                      <a:picLocks noChangeAspect="1"/>
                    </pic:cNvPicPr>
                  </pic:nvPicPr>
                  <pic:blipFill>
                    <a:blip r:embed="rId17"/>
                    <a:stretch>
                      <a:fillRect/>
                    </a:stretch>
                  </pic:blipFill>
                  <pic:spPr>
                    <a:xfrm>
                      <a:off x="0" y="0"/>
                      <a:ext cx="4679315" cy="1404620"/>
                    </a:xfrm>
                    <a:prstGeom prst="rect">
                      <a:avLst/>
                    </a:prstGeom>
                    <a:noFill/>
                    <a:ln>
                      <a:noFill/>
                    </a:ln>
                  </pic:spPr>
                </pic:pic>
              </a:graphicData>
            </a:graphic>
          </wp:anchor>
        </w:drawing>
      </w:r>
    </w:p>
    <w:p>
      <w:pPr>
        <w:adjustRightInd w:val="0"/>
        <w:spacing w:line="720" w:lineRule="auto"/>
        <w:jc w:val="center"/>
        <w:rPr>
          <w:rFonts w:ascii="宋体" w:hAnsi="宋体" w:cs="宋体"/>
        </w:rPr>
      </w:pPr>
    </w:p>
    <w:p>
      <w:pPr>
        <w:adjustRightInd w:val="0"/>
        <w:spacing w:line="360" w:lineRule="auto"/>
        <w:jc w:val="center"/>
        <w:rPr>
          <w:rFonts w:ascii="Times New Roman" w:hAnsi="Times New Roman" w:cs="Times New Roman"/>
          <w:szCs w:val="21"/>
          <w:lang w:bidi="ar"/>
        </w:rPr>
      </w:pPr>
    </w:p>
    <w:p>
      <w:pPr>
        <w:adjustRightInd w:val="0"/>
        <w:spacing w:line="360" w:lineRule="auto"/>
        <w:jc w:val="center"/>
        <w:rPr>
          <w:rFonts w:ascii="宋体" w:hAnsi="宋体" w:cs="宋体"/>
          <w:szCs w:val="21"/>
          <w:lang w:bidi="ar"/>
        </w:rPr>
      </w:pPr>
      <w:r>
        <w:rPr>
          <w:rFonts w:ascii="Times New Roman" w:hAnsi="Times New Roman" w:cs="Times New Roman"/>
          <w:szCs w:val="21"/>
          <w:lang w:bidi="ar"/>
        </w:rPr>
        <w:t>a</w:t>
      </w:r>
      <w:r>
        <w:rPr>
          <w:rFonts w:hint="eastAsia" w:ascii="宋体" w:hAnsi="宋体" w:cs="宋体"/>
          <w:szCs w:val="21"/>
          <w:lang w:bidi="ar"/>
        </w:rPr>
        <w:t xml:space="preserve">)北京当代万国城                   </w:t>
      </w:r>
      <w:r>
        <w:rPr>
          <w:rFonts w:ascii="Times New Roman" w:hAnsi="Times New Roman" w:cs="Times New Roman"/>
          <w:szCs w:val="21"/>
          <w:lang w:bidi="ar"/>
        </w:rPr>
        <w:t>b</w:t>
      </w:r>
      <w:r>
        <w:rPr>
          <w:rFonts w:hint="eastAsia" w:ascii="宋体" w:hAnsi="宋体" w:cs="宋体"/>
          <w:szCs w:val="21"/>
          <w:lang w:bidi="ar"/>
        </w:rPr>
        <w:t>)万科朗润园</w:t>
      </w:r>
    </w:p>
    <w:p>
      <w:pPr>
        <w:adjustRightInd w:val="0"/>
        <w:spacing w:line="360" w:lineRule="auto"/>
        <w:ind w:firstLine="315" w:firstLineChars="150"/>
        <w:jc w:val="center"/>
        <w:rPr>
          <w:rFonts w:ascii="宋体" w:hAnsi="宋体" w:cs="宋体"/>
          <w:szCs w:val="21"/>
          <w:lang w:bidi="ar"/>
        </w:rPr>
      </w:pPr>
      <w:r>
        <w:rPr>
          <w:rFonts w:hint="eastAsia" w:ascii="宋体" w:hAnsi="宋体" w:cs="宋体"/>
          <w:szCs w:val="21"/>
          <w:lang w:bidi="ar"/>
        </w:rPr>
        <w:t>图</w:t>
      </w:r>
      <w:r>
        <w:rPr>
          <w:rFonts w:ascii="Times New Roman" w:hAnsi="Times New Roman" w:cs="Times New Roman"/>
          <w:szCs w:val="21"/>
          <w:lang w:bidi="ar"/>
        </w:rPr>
        <w:t xml:space="preserve"> 1</w:t>
      </w:r>
      <w:r>
        <w:rPr>
          <w:rFonts w:hint="eastAsia" w:ascii="宋体" w:hAnsi="宋体" w:cs="宋体"/>
          <w:szCs w:val="21"/>
          <w:lang w:bidi="ar"/>
        </w:rPr>
        <w:t>-</w:t>
      </w:r>
      <w:r>
        <w:rPr>
          <w:rFonts w:ascii="Times New Roman" w:hAnsi="Times New Roman" w:cs="Times New Roman"/>
          <w:szCs w:val="21"/>
          <w:lang w:bidi="ar"/>
        </w:rPr>
        <w:t>1</w:t>
      </w:r>
      <w:r>
        <w:rPr>
          <w:rFonts w:hint="eastAsia" w:ascii="宋体" w:hAnsi="宋体" w:cs="宋体"/>
          <w:szCs w:val="21"/>
          <w:lang w:bidi="ar"/>
        </w:rPr>
        <w:t xml:space="preserve"> 我国绿色建筑实践</w:t>
      </w:r>
    </w:p>
    <w:p>
      <w:pPr>
        <w:pStyle w:val="3"/>
        <w:spacing w:before="166" w:beforeLines="50" w:after="163" w:line="360" w:lineRule="auto"/>
        <w:jc w:val="left"/>
        <w:rPr>
          <w:rFonts w:cs="黑体"/>
          <w:color w:val="000000"/>
          <w:sz w:val="30"/>
          <w:szCs w:val="30"/>
        </w:rPr>
      </w:pPr>
      <w:bookmarkStart w:id="74" w:name="_Toc14651"/>
      <w:bookmarkStart w:id="75" w:name="_Toc26070"/>
      <w:bookmarkStart w:id="76" w:name="_Toc8929"/>
      <w:bookmarkStart w:id="77" w:name="_Toc24401"/>
      <w:bookmarkStart w:id="78" w:name="_Toc13036"/>
      <w:r>
        <w:rPr>
          <w:rFonts w:hint="eastAsia" w:ascii="Times New Roman" w:hAnsi="Times New Roman" w:cs="Times New Roman"/>
          <w:color w:val="000000"/>
          <w:sz w:val="30"/>
          <w:szCs w:val="30"/>
        </w:rPr>
        <w:t>1.3</w:t>
      </w:r>
      <w:r>
        <w:rPr>
          <w:rFonts w:hint="eastAsia" w:cs="黑体"/>
          <w:color w:val="000000"/>
          <w:sz w:val="30"/>
          <w:szCs w:val="30"/>
        </w:rPr>
        <w:t>研究内容与方法</w:t>
      </w:r>
      <w:bookmarkEnd w:id="74"/>
      <w:bookmarkEnd w:id="75"/>
      <w:bookmarkEnd w:id="76"/>
      <w:bookmarkEnd w:id="77"/>
      <w:bookmarkEnd w:id="78"/>
      <w:bookmarkStart w:id="79" w:name="_Toc13731"/>
      <w:bookmarkStart w:id="80" w:name="_Toc22299"/>
    </w:p>
    <w:p>
      <w:pPr>
        <w:pStyle w:val="4"/>
        <w:spacing w:before="166" w:beforeLines="50" w:after="166" w:afterLines="50" w:line="360" w:lineRule="auto"/>
      </w:pPr>
      <w:bookmarkStart w:id="81" w:name="_Toc15926"/>
      <w:bookmarkStart w:id="82" w:name="_Toc5541"/>
      <w:bookmarkStart w:id="83" w:name="_Toc11678"/>
      <w:bookmarkStart w:id="84" w:name="_Toc7744"/>
      <w:r>
        <w:rPr>
          <w:rFonts w:hint="eastAsia" w:ascii="Times New Roman" w:hAnsi="Times New Roman" w:cs="Times New Roman"/>
          <w:color w:val="000000"/>
          <w:szCs w:val="28"/>
        </w:rPr>
        <w:t>1.3.1</w:t>
      </w:r>
      <w:r>
        <w:rPr>
          <w:rFonts w:hint="eastAsia"/>
        </w:rPr>
        <w:t>研究内容</w:t>
      </w:r>
      <w:bookmarkEnd w:id="79"/>
      <w:bookmarkEnd w:id="80"/>
      <w:bookmarkEnd w:id="81"/>
      <w:bookmarkEnd w:id="82"/>
      <w:bookmarkEnd w:id="83"/>
      <w:bookmarkEnd w:id="84"/>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本文主要针对现阶段绿色建筑设计实践中建筑师缺位困境进行反思，通过对国内外的绿色建筑研究现状进行分析，从绿色建筑的概念、绿色建筑评价体系出发，分析我国绿色建筑设计现存问题；再结合我国现行的《绿色建筑评价标准》，多层次多角度进行分析住宅绿色设计技术和策略梳理，提出相应设计措施。最后，在前面理论和策略技术铺垫下，结合广州市番禺区长隆</w:t>
      </w:r>
      <w:r>
        <w:rPr>
          <w:rFonts w:hint="eastAsia" w:ascii="Times New Roman" w:hAnsi="Times New Roman" w:cs="Times New Roman"/>
          <w:sz w:val="24"/>
          <w:lang w:bidi="ar"/>
        </w:rPr>
        <w:t>103</w:t>
      </w:r>
      <w:r>
        <w:rPr>
          <w:rFonts w:hint="eastAsia" w:asciiTheme="minorEastAsia" w:hAnsiTheme="minorEastAsia" w:cstheme="minorEastAsia"/>
          <w:sz w:val="24"/>
          <w:lang w:bidi="ar"/>
        </w:rPr>
        <w:t>地块重点开发项目从建筑从设计理念、设计思维和设计要点等几个方面进行分析，形成系统、实用的绿色住宅设计策略，以期推动绿色建筑整体质量的提升。</w:t>
      </w:r>
    </w:p>
    <w:p>
      <w:pPr>
        <w:pStyle w:val="4"/>
        <w:spacing w:before="166" w:beforeLines="50" w:after="166" w:afterLines="50" w:line="360" w:lineRule="auto"/>
        <w:ind w:left="720" w:hanging="720"/>
        <w:rPr>
          <w:rFonts w:cs="黑体"/>
          <w:color w:val="000000"/>
          <w:szCs w:val="28"/>
        </w:rPr>
      </w:pPr>
      <w:bookmarkStart w:id="85" w:name="_Toc27782"/>
      <w:bookmarkStart w:id="86" w:name="_Toc30220"/>
      <w:bookmarkStart w:id="87" w:name="_Toc30754"/>
      <w:bookmarkStart w:id="88" w:name="_Toc8577"/>
      <w:bookmarkStart w:id="89" w:name="_Toc19895"/>
      <w:bookmarkStart w:id="90" w:name="_Toc19214"/>
      <w:r>
        <w:rPr>
          <w:rFonts w:hint="eastAsia" w:ascii="Times New Roman" w:hAnsi="Times New Roman" w:cs="Times New Roman"/>
          <w:color w:val="000000"/>
          <w:szCs w:val="28"/>
        </w:rPr>
        <w:t>1.3.2</w:t>
      </w:r>
      <w:r>
        <w:rPr>
          <w:rFonts w:hint="eastAsia" w:cs="黑体"/>
          <w:color w:val="000000"/>
          <w:szCs w:val="28"/>
        </w:rPr>
        <w:t>研究方法</w:t>
      </w:r>
      <w:bookmarkEnd w:id="85"/>
      <w:bookmarkEnd w:id="86"/>
      <w:bookmarkEnd w:id="87"/>
      <w:bookmarkEnd w:id="88"/>
      <w:bookmarkEnd w:id="89"/>
      <w:bookmarkEnd w:id="90"/>
    </w:p>
    <w:p>
      <w:pPr>
        <w:adjustRightInd w:val="0"/>
        <w:spacing w:line="360" w:lineRule="auto"/>
        <w:ind w:firstLine="480" w:firstLineChars="200"/>
        <w:jc w:val="left"/>
        <w:rPr>
          <w:rFonts w:ascii="宋体" w:hAnsi="宋体" w:cs="宋体"/>
          <w:sz w:val="24"/>
          <w:lang w:bidi="ar"/>
        </w:rPr>
      </w:pPr>
      <w:r>
        <w:rPr>
          <w:rFonts w:hint="eastAsia" w:asciiTheme="minorEastAsia" w:hAnsiTheme="minorEastAsia" w:cstheme="minorEastAsia"/>
          <w:sz w:val="24"/>
          <w:lang w:bidi="ar"/>
        </w:rPr>
        <w:t>（</w:t>
      </w:r>
      <w:r>
        <w:rPr>
          <w:rFonts w:hint="eastAsia" w:ascii="Times New Roman" w:hAnsi="Times New Roman" w:cs="Times New Roman"/>
          <w:sz w:val="24"/>
          <w:lang w:bidi="ar"/>
        </w:rPr>
        <w:t>1</w:t>
      </w:r>
      <w:r>
        <w:rPr>
          <w:rFonts w:hint="eastAsia" w:asciiTheme="minorEastAsia" w:hAnsiTheme="minorEastAsia" w:cstheme="minorEastAsia"/>
          <w:sz w:val="24"/>
          <w:lang w:bidi="ar"/>
        </w:rPr>
        <w:t>）文献归纳与实地调研结合法：通过对国内外各种学术期刊、著作等研究文献的收集与研读，从核心期刊和国内内外知名研究团队研究最新成果入手，确保内容的创新性与准确性。……</w:t>
      </w:r>
    </w:p>
    <w:p>
      <w:pPr>
        <w:adjustRightInd w:val="0"/>
        <w:spacing w:line="360" w:lineRule="auto"/>
        <w:ind w:firstLine="480" w:firstLineChars="200"/>
        <w:jc w:val="left"/>
        <w:rPr>
          <w:rFonts w:ascii="宋体" w:hAnsi="宋体" w:cs="宋体"/>
          <w:sz w:val="24"/>
          <w:lang w:bidi="ar"/>
        </w:rPr>
        <w:sectPr>
          <w:footerReference r:id="rId12" w:type="first"/>
          <w:footerReference r:id="rId11" w:type="default"/>
          <w:pgSz w:w="11906" w:h="16838"/>
          <w:pgMar w:top="1417" w:right="1417" w:bottom="1417" w:left="1417" w:header="851" w:footer="850" w:gutter="0"/>
          <w:cols w:space="0" w:num="1"/>
          <w:titlePg/>
          <w:docGrid w:type="lines" w:linePitch="333" w:charSpace="0"/>
        </w:sectPr>
      </w:pPr>
    </w:p>
    <w:p>
      <w:pPr>
        <w:pStyle w:val="2"/>
        <w:spacing w:before="333" w:beforeLines="100" w:after="333" w:afterLines="100" w:line="360" w:lineRule="auto"/>
        <w:jc w:val="center"/>
        <w:rPr>
          <w:sz w:val="36"/>
          <w:szCs w:val="36"/>
        </w:rPr>
      </w:pPr>
      <w:bookmarkStart w:id="91" w:name="_Toc31665"/>
      <w:bookmarkStart w:id="92" w:name="_Toc8542"/>
      <w:bookmarkStart w:id="93" w:name="_Toc19860"/>
      <w:bookmarkStart w:id="94" w:name="_Toc4483"/>
      <w:bookmarkStart w:id="95" w:name="_Toc6228"/>
      <w:bookmarkStart w:id="96" w:name="_Toc5474"/>
      <w:r>
        <w:rPr>
          <w:rFonts w:hint="eastAsia" w:ascii="黑体" w:hAnsi="黑体" w:eastAsia="黑体" w:cs="黑体"/>
          <w:sz w:val="36"/>
          <w:szCs w:val="36"/>
        </w:rPr>
        <w:t>第二章 绿色建筑相关概念界定与发展现状分析</w:t>
      </w:r>
      <w:bookmarkEnd w:id="91"/>
      <w:bookmarkEnd w:id="92"/>
      <w:bookmarkEnd w:id="93"/>
      <w:bookmarkEnd w:id="94"/>
      <w:bookmarkEnd w:id="95"/>
      <w:bookmarkEnd w:id="96"/>
    </w:p>
    <w:p>
      <w:pPr>
        <w:pStyle w:val="3"/>
        <w:spacing w:before="166" w:beforeLines="50" w:after="163" w:line="360" w:lineRule="auto"/>
        <w:jc w:val="left"/>
        <w:rPr>
          <w:rFonts w:cs="黑体"/>
          <w:color w:val="000000"/>
          <w:sz w:val="30"/>
          <w:szCs w:val="30"/>
        </w:rPr>
      </w:pPr>
      <w:bookmarkStart w:id="97" w:name="_Toc31056"/>
      <w:bookmarkStart w:id="98" w:name="_Toc14248"/>
      <w:bookmarkStart w:id="99" w:name="_Toc27150"/>
      <w:bookmarkStart w:id="100" w:name="_Toc5628"/>
      <w:bookmarkStart w:id="101" w:name="_Toc18825"/>
      <w:bookmarkStart w:id="102" w:name="_Toc2956"/>
      <w:r>
        <w:rPr>
          <w:rFonts w:hint="eastAsia" w:ascii="Times New Roman" w:hAnsi="Times New Roman" w:cs="Times New Roman"/>
          <w:color w:val="000000"/>
          <w:sz w:val="30"/>
          <w:szCs w:val="30"/>
        </w:rPr>
        <w:t>2.1</w:t>
      </w:r>
      <w:r>
        <w:rPr>
          <w:rFonts w:hint="eastAsia" w:cs="黑体"/>
          <w:color w:val="000000"/>
          <w:sz w:val="30"/>
          <w:szCs w:val="30"/>
        </w:rPr>
        <w:t>绿色建筑概念</w:t>
      </w:r>
      <w:bookmarkEnd w:id="97"/>
      <w:bookmarkEnd w:id="98"/>
      <w:bookmarkEnd w:id="99"/>
      <w:bookmarkEnd w:id="100"/>
      <w:bookmarkEnd w:id="101"/>
      <w:bookmarkEnd w:id="102"/>
    </w:p>
    <w:p>
      <w:pPr>
        <w:pStyle w:val="40"/>
        <w:widowControl/>
        <w:adjustRightInd w:val="0"/>
        <w:spacing w:line="360" w:lineRule="auto"/>
        <w:ind w:firstLine="480"/>
        <w:jc w:val="left"/>
        <w:rPr>
          <w:rFonts w:ascii="宋体" w:hAnsi="宋体"/>
          <w:sz w:val="24"/>
        </w:rPr>
      </w:pPr>
      <w:bookmarkStart w:id="103" w:name="_Toc27452"/>
      <w:r>
        <w:rPr>
          <w:rFonts w:hint="eastAsia" w:ascii="宋体" w:hAnsi="宋体"/>
          <w:sz w:val="24"/>
        </w:rPr>
        <w:t>……</w:t>
      </w:r>
    </w:p>
    <w:p>
      <w:pPr>
        <w:pStyle w:val="3"/>
        <w:spacing w:before="166" w:beforeLines="50" w:after="163" w:line="360" w:lineRule="auto"/>
        <w:jc w:val="left"/>
        <w:rPr>
          <w:rFonts w:cs="黑体"/>
          <w:color w:val="000000"/>
          <w:sz w:val="30"/>
          <w:szCs w:val="30"/>
        </w:rPr>
      </w:pPr>
      <w:bookmarkStart w:id="104" w:name="_Toc4749"/>
      <w:bookmarkStart w:id="105" w:name="_Toc26707"/>
      <w:bookmarkStart w:id="106" w:name="_Toc2785"/>
      <w:bookmarkStart w:id="107" w:name="_Toc3455"/>
      <w:bookmarkStart w:id="108" w:name="_Toc4076"/>
      <w:r>
        <w:rPr>
          <w:rFonts w:hint="eastAsia" w:ascii="Times New Roman" w:hAnsi="Times New Roman" w:cs="Times New Roman"/>
          <w:color w:val="000000"/>
          <w:sz w:val="30"/>
          <w:szCs w:val="30"/>
        </w:rPr>
        <w:t>2.2</w:t>
      </w:r>
      <w:r>
        <w:rPr>
          <w:rFonts w:hint="eastAsia" w:cs="黑体"/>
          <w:color w:val="000000"/>
          <w:sz w:val="30"/>
          <w:szCs w:val="30"/>
        </w:rPr>
        <w:t>绿色建筑评价体系</w:t>
      </w:r>
      <w:bookmarkEnd w:id="103"/>
      <w:bookmarkEnd w:id="104"/>
      <w:bookmarkEnd w:id="105"/>
      <w:bookmarkEnd w:id="106"/>
      <w:bookmarkEnd w:id="107"/>
      <w:bookmarkEnd w:id="108"/>
    </w:p>
    <w:p>
      <w:pPr>
        <w:pStyle w:val="40"/>
        <w:widowControl/>
        <w:adjustRightInd w:val="0"/>
        <w:spacing w:line="360" w:lineRule="auto"/>
        <w:ind w:firstLine="480"/>
        <w:jc w:val="left"/>
        <w:rPr>
          <w:rFonts w:ascii="宋体" w:hAnsi="宋体"/>
          <w:sz w:val="24"/>
        </w:rPr>
      </w:pPr>
      <w:r>
        <w:rPr>
          <w:rFonts w:hint="eastAsia" w:ascii="宋体" w:hAnsi="宋体"/>
          <w:sz w:val="24"/>
        </w:rPr>
        <w:t>……</w:t>
      </w:r>
    </w:p>
    <w:p>
      <w:pPr>
        <w:pStyle w:val="3"/>
        <w:spacing w:before="166" w:beforeLines="50" w:after="163" w:line="360" w:lineRule="auto"/>
        <w:jc w:val="left"/>
        <w:rPr>
          <w:rFonts w:cs="黑体"/>
          <w:color w:val="000000"/>
          <w:sz w:val="30"/>
          <w:szCs w:val="30"/>
        </w:rPr>
      </w:pPr>
      <w:bookmarkStart w:id="109" w:name="_Toc6800"/>
      <w:bookmarkStart w:id="110" w:name="_Toc24437"/>
      <w:bookmarkStart w:id="111" w:name="_Toc2574"/>
      <w:bookmarkStart w:id="112" w:name="_Toc9815"/>
      <w:bookmarkStart w:id="113" w:name="_Toc25830"/>
      <w:r>
        <w:rPr>
          <w:rFonts w:hint="eastAsia" w:ascii="Times New Roman" w:hAnsi="Times New Roman" w:cs="Times New Roman"/>
          <w:color w:val="000000"/>
          <w:sz w:val="30"/>
          <w:szCs w:val="30"/>
        </w:rPr>
        <w:t>2.3</w:t>
      </w:r>
      <w:r>
        <w:rPr>
          <w:rFonts w:hint="eastAsia" w:cs="黑体"/>
          <w:color w:val="000000"/>
          <w:sz w:val="30"/>
          <w:szCs w:val="30"/>
        </w:rPr>
        <w:t>广东地区绿色建筑发展现状分析</w:t>
      </w:r>
      <w:bookmarkEnd w:id="109"/>
      <w:bookmarkEnd w:id="110"/>
      <w:bookmarkEnd w:id="111"/>
      <w:bookmarkEnd w:id="112"/>
      <w:bookmarkEnd w:id="113"/>
    </w:p>
    <w:p>
      <w:pPr>
        <w:pStyle w:val="40"/>
        <w:widowControl/>
        <w:adjustRightInd w:val="0"/>
        <w:spacing w:line="360" w:lineRule="auto"/>
        <w:ind w:firstLine="480"/>
        <w:jc w:val="left"/>
        <w:rPr>
          <w:rFonts w:ascii="宋体" w:hAnsi="宋体"/>
          <w:sz w:val="24"/>
        </w:rPr>
      </w:pPr>
      <w:r>
        <w:rPr>
          <w:rFonts w:hint="eastAsia" w:ascii="宋体" w:hAnsi="宋体"/>
          <w:sz w:val="24"/>
        </w:rPr>
        <w:t>……</w:t>
      </w:r>
    </w:p>
    <w:p>
      <w:pPr>
        <w:pStyle w:val="4"/>
        <w:spacing w:before="166" w:beforeLines="50" w:after="166" w:afterLines="50" w:line="360" w:lineRule="auto"/>
        <w:ind w:left="720" w:hanging="720"/>
        <w:rPr>
          <w:rFonts w:cs="黑体"/>
          <w:color w:val="000000"/>
          <w:szCs w:val="28"/>
        </w:rPr>
      </w:pPr>
      <w:bookmarkStart w:id="114" w:name="_Toc392"/>
      <w:bookmarkStart w:id="115" w:name="_Toc18394"/>
      <w:bookmarkStart w:id="116" w:name="_Toc2419"/>
      <w:bookmarkStart w:id="117" w:name="_Toc30744"/>
      <w:bookmarkStart w:id="118" w:name="_Toc32393"/>
      <w:bookmarkStart w:id="119" w:name="_Toc28933"/>
      <w:r>
        <w:rPr>
          <w:rFonts w:hint="eastAsia" w:ascii="Times New Roman" w:hAnsi="Times New Roman" w:cs="Times New Roman"/>
          <w:color w:val="000000"/>
          <w:szCs w:val="28"/>
        </w:rPr>
        <w:t>2.3.1</w:t>
      </w:r>
      <w:r>
        <w:rPr>
          <w:rFonts w:hint="eastAsia" w:cs="黑体"/>
          <w:color w:val="000000"/>
          <w:szCs w:val="28"/>
        </w:rPr>
        <w:t>绿色建筑发展概况</w:t>
      </w:r>
      <w:bookmarkEnd w:id="114"/>
      <w:bookmarkEnd w:id="115"/>
      <w:bookmarkEnd w:id="116"/>
      <w:bookmarkEnd w:id="117"/>
      <w:bookmarkEnd w:id="118"/>
      <w:bookmarkEnd w:id="119"/>
    </w:p>
    <w:p>
      <w:pPr>
        <w:pStyle w:val="40"/>
        <w:widowControl/>
        <w:adjustRightInd w:val="0"/>
        <w:spacing w:line="360" w:lineRule="auto"/>
        <w:ind w:firstLine="480"/>
        <w:jc w:val="left"/>
        <w:rPr>
          <w:rFonts w:ascii="宋体" w:hAnsi="宋体"/>
          <w:sz w:val="24"/>
        </w:rPr>
      </w:pPr>
      <w:r>
        <w:rPr>
          <w:rFonts w:hint="eastAsia" w:ascii="宋体" w:hAnsi="宋体"/>
          <w:sz w:val="24"/>
        </w:rPr>
        <w:t>……</w:t>
      </w:r>
    </w:p>
    <w:p>
      <w:pPr>
        <w:pStyle w:val="4"/>
        <w:spacing w:before="166" w:beforeLines="50" w:after="166" w:afterLines="50" w:line="360" w:lineRule="auto"/>
        <w:ind w:left="720" w:hanging="720"/>
        <w:rPr>
          <w:rFonts w:cs="黑体"/>
          <w:color w:val="000000"/>
          <w:szCs w:val="28"/>
        </w:rPr>
      </w:pPr>
      <w:bookmarkStart w:id="120" w:name="_Toc15012"/>
      <w:bookmarkStart w:id="121" w:name="_Toc29746"/>
      <w:bookmarkStart w:id="122" w:name="_Toc20043"/>
      <w:bookmarkStart w:id="123" w:name="_Toc31897"/>
      <w:bookmarkStart w:id="124" w:name="_Toc22455"/>
      <w:bookmarkStart w:id="125" w:name="_Toc31554"/>
      <w:r>
        <w:rPr>
          <w:rFonts w:hint="eastAsia" w:ascii="Times New Roman" w:hAnsi="Times New Roman" w:cs="Times New Roman"/>
          <w:color w:val="000000"/>
          <w:szCs w:val="28"/>
        </w:rPr>
        <w:t>2.3.2</w:t>
      </w:r>
      <w:r>
        <w:rPr>
          <w:rFonts w:hint="eastAsia" w:cs="黑体"/>
          <w:color w:val="000000"/>
          <w:szCs w:val="28"/>
        </w:rPr>
        <w:t>绿色建筑设计标识项目概况</w:t>
      </w:r>
      <w:bookmarkEnd w:id="120"/>
      <w:bookmarkEnd w:id="121"/>
      <w:bookmarkEnd w:id="122"/>
      <w:bookmarkEnd w:id="123"/>
      <w:bookmarkEnd w:id="124"/>
      <w:bookmarkEnd w:id="125"/>
    </w:p>
    <w:p>
      <w:pPr>
        <w:pStyle w:val="40"/>
        <w:widowControl/>
        <w:adjustRightInd w:val="0"/>
        <w:spacing w:line="360" w:lineRule="auto"/>
        <w:ind w:firstLine="480"/>
        <w:jc w:val="left"/>
        <w:rPr>
          <w:rFonts w:asciiTheme="minorEastAsia" w:hAnsiTheme="minorEastAsia" w:cstheme="minorEastAsia"/>
          <w:sz w:val="24"/>
          <w:lang w:bidi="ar"/>
        </w:rPr>
      </w:pPr>
      <w:r>
        <w:rPr>
          <w:rFonts w:hint="eastAsia" w:asciiTheme="minorEastAsia" w:hAnsiTheme="minorEastAsia" w:cstheme="minorEastAsia"/>
          <w:sz w:val="24"/>
          <w:lang w:bidi="ar"/>
        </w:rPr>
        <w:t>根据笔者对广东地区相关建筑项目调查与统计，广东地区在</w:t>
      </w:r>
      <w:r>
        <w:rPr>
          <w:rFonts w:hint="eastAsia" w:ascii="Times New Roman" w:hAnsi="Times New Roman" w:cs="Times New Roman"/>
          <w:sz w:val="24"/>
          <w:lang w:bidi="ar"/>
        </w:rPr>
        <w:t>2008</w:t>
      </w:r>
      <w:r>
        <w:rPr>
          <w:rFonts w:hint="eastAsia" w:asciiTheme="minorEastAsia" w:hAnsiTheme="minorEastAsia" w:cstheme="minorEastAsia"/>
          <w:sz w:val="24"/>
          <w:lang w:bidi="ar"/>
        </w:rPr>
        <w:t>-</w:t>
      </w:r>
      <w:r>
        <w:rPr>
          <w:rFonts w:hint="eastAsia" w:ascii="Times New Roman" w:hAnsi="Times New Roman" w:cs="Times New Roman"/>
          <w:sz w:val="24"/>
          <w:lang w:bidi="ar"/>
        </w:rPr>
        <w:t>2014</w:t>
      </w:r>
      <w:r>
        <w:rPr>
          <w:rFonts w:hint="eastAsia" w:asciiTheme="minorEastAsia" w:hAnsiTheme="minorEastAsia" w:cstheme="minorEastAsia"/>
          <w:sz w:val="24"/>
          <w:lang w:bidi="ar"/>
        </w:rPr>
        <w:t>年间获得一、二星级绿色建筑评价标识项目为</w:t>
      </w:r>
      <w:r>
        <w:rPr>
          <w:rFonts w:hint="eastAsia" w:ascii="Times New Roman" w:hAnsi="Times New Roman" w:cs="Times New Roman"/>
          <w:sz w:val="24"/>
          <w:lang w:bidi="ar"/>
        </w:rPr>
        <w:t>127</w:t>
      </w:r>
      <w:r>
        <w:rPr>
          <w:rFonts w:hint="eastAsia" w:asciiTheme="minorEastAsia" w:hAnsiTheme="minorEastAsia" w:cstheme="minorEastAsia"/>
          <w:sz w:val="24"/>
          <w:lang w:bidi="ar"/>
        </w:rPr>
        <w:t>项，这些项目大部分位于经济发达的珠三角，如广州、佛山、东莞、珠海等地。根据收集到的</w:t>
      </w:r>
      <w:r>
        <w:rPr>
          <w:rFonts w:hint="eastAsia" w:ascii="Times New Roman" w:hAnsi="Times New Roman" w:cs="Times New Roman"/>
          <w:sz w:val="24"/>
          <w:lang w:bidi="ar"/>
        </w:rPr>
        <w:t>127</w:t>
      </w:r>
      <w:r>
        <w:rPr>
          <w:rFonts w:hint="eastAsia" w:asciiTheme="minorEastAsia" w:hAnsiTheme="minorEastAsia" w:cstheme="minorEastAsia"/>
          <w:sz w:val="24"/>
          <w:lang w:bidi="ar"/>
        </w:rPr>
        <w:t>项目资料，其中住宅项目为</w:t>
      </w:r>
      <w:r>
        <w:rPr>
          <w:rFonts w:hint="eastAsia" w:ascii="Times New Roman" w:hAnsi="Times New Roman" w:cs="Times New Roman"/>
          <w:sz w:val="24"/>
          <w:lang w:bidi="ar"/>
        </w:rPr>
        <w:t>65</w:t>
      </w:r>
      <w:r>
        <w:rPr>
          <w:rFonts w:hint="eastAsia" w:asciiTheme="minorEastAsia" w:hAnsiTheme="minorEastAsia" w:cstheme="minorEastAsia"/>
          <w:sz w:val="24"/>
          <w:lang w:bidi="ar"/>
        </w:rPr>
        <w:t>项，占比</w:t>
      </w:r>
      <w:r>
        <w:rPr>
          <w:rFonts w:hint="eastAsia" w:ascii="Times New Roman" w:hAnsi="Times New Roman" w:cs="Times New Roman"/>
          <w:sz w:val="24"/>
          <w:lang w:bidi="ar"/>
        </w:rPr>
        <w:t>51.2%</w:t>
      </w:r>
      <w:r>
        <w:rPr>
          <w:rFonts w:hint="eastAsia" w:asciiTheme="minorEastAsia" w:hAnsiTheme="minorEastAsia" w:cstheme="minorEastAsia"/>
          <w:sz w:val="24"/>
          <w:lang w:bidi="ar"/>
        </w:rPr>
        <w:t>；公共建筑项目为</w:t>
      </w:r>
      <w:r>
        <w:rPr>
          <w:rFonts w:hint="eastAsia" w:ascii="Times New Roman" w:hAnsi="Times New Roman" w:cs="Times New Roman"/>
          <w:sz w:val="24"/>
          <w:lang w:bidi="ar"/>
        </w:rPr>
        <w:t>62</w:t>
      </w:r>
      <w:r>
        <w:rPr>
          <w:rFonts w:hint="eastAsia" w:asciiTheme="minorEastAsia" w:hAnsiTheme="minorEastAsia" w:cstheme="minorEastAsia"/>
          <w:sz w:val="24"/>
          <w:lang w:bidi="ar"/>
        </w:rPr>
        <w:t>项，占比为</w:t>
      </w:r>
      <w:r>
        <w:rPr>
          <w:rFonts w:hint="eastAsia" w:ascii="Times New Roman" w:hAnsi="Times New Roman" w:cs="Times New Roman"/>
          <w:sz w:val="24"/>
          <w:lang w:bidi="ar"/>
        </w:rPr>
        <w:t>48.8%</w:t>
      </w:r>
      <w:r>
        <w:rPr>
          <w:rFonts w:hint="eastAsia" w:asciiTheme="minorEastAsia" w:hAnsiTheme="minorEastAsia" w:cstheme="minorEastAsia"/>
          <w:sz w:val="24"/>
          <w:lang w:bidi="ar"/>
        </w:rPr>
        <w:t>，具体情况统计见下表</w:t>
      </w:r>
      <w:r>
        <w:rPr>
          <w:rFonts w:hint="eastAsia" w:ascii="Times New Roman" w:hAnsi="Times New Roman" w:cs="Times New Roman"/>
          <w:sz w:val="24"/>
          <w:lang w:bidi="ar"/>
        </w:rPr>
        <w:t>2</w:t>
      </w:r>
      <w:r>
        <w:rPr>
          <w:rFonts w:hint="eastAsia" w:asciiTheme="minorEastAsia" w:hAnsiTheme="minorEastAsia" w:cstheme="minorEastAsia"/>
          <w:sz w:val="24"/>
          <w:lang w:bidi="ar"/>
        </w:rPr>
        <w:t>-</w:t>
      </w:r>
      <w:r>
        <w:rPr>
          <w:rFonts w:hint="eastAsia" w:ascii="Times New Roman" w:hAnsi="Times New Roman" w:cs="Times New Roman"/>
          <w:sz w:val="24"/>
          <w:lang w:bidi="ar"/>
        </w:rPr>
        <w:t>1</w:t>
      </w:r>
      <w:r>
        <w:rPr>
          <w:rFonts w:hint="eastAsia" w:asciiTheme="minorEastAsia" w:hAnsiTheme="minorEastAsia" w:cstheme="minorEastAsia"/>
          <w:sz w:val="24"/>
          <w:lang w:bidi="ar"/>
        </w:rPr>
        <w:t>。</w:t>
      </w:r>
    </w:p>
    <w:p>
      <w:pPr>
        <w:pStyle w:val="40"/>
        <w:widowControl/>
        <w:adjustRightInd w:val="0"/>
        <w:spacing w:line="360" w:lineRule="auto"/>
        <w:ind w:firstLine="0" w:firstLineChars="0"/>
        <w:jc w:val="center"/>
        <w:rPr>
          <w:rFonts w:ascii="宋体" w:hAnsi="宋体"/>
          <w:szCs w:val="21"/>
        </w:rPr>
      </w:pPr>
      <w:r>
        <w:rPr>
          <w:rFonts w:hint="eastAsia" w:ascii="宋体" w:hAnsi="宋体"/>
          <w:szCs w:val="21"/>
        </w:rPr>
        <w:t xml:space="preserve">表 </w:t>
      </w:r>
      <w:r>
        <w:rPr>
          <w:rFonts w:ascii="Times New Roman" w:hAnsi="Times New Roman" w:cs="Times New Roman"/>
          <w:szCs w:val="21"/>
        </w:rPr>
        <w:t>2</w:t>
      </w:r>
      <w:r>
        <w:rPr>
          <w:rFonts w:hint="eastAsia" w:ascii="宋体" w:hAnsi="宋体"/>
          <w:szCs w:val="21"/>
        </w:rPr>
        <w:t>-</w:t>
      </w:r>
      <w:r>
        <w:rPr>
          <w:rFonts w:ascii="Times New Roman" w:hAnsi="Times New Roman" w:cs="Times New Roman"/>
          <w:szCs w:val="21"/>
        </w:rPr>
        <w:t>1</w:t>
      </w:r>
      <w:r>
        <w:rPr>
          <w:rFonts w:hint="eastAsia" w:ascii="宋体" w:hAnsi="宋体"/>
          <w:szCs w:val="21"/>
        </w:rPr>
        <w:t xml:space="preserve"> 绿色建筑设计标识项目的星级类型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132"/>
        <w:gridCol w:w="1133"/>
        <w:gridCol w:w="1133"/>
        <w:gridCol w:w="1133"/>
        <w:gridCol w:w="1134"/>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restart"/>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建筑类型</w:t>
            </w:r>
          </w:p>
        </w:tc>
        <w:tc>
          <w:tcPr>
            <w:tcW w:w="6798" w:type="dxa"/>
            <w:gridSpan w:val="6"/>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绿色建筑评价标识项目星级类型</w:t>
            </w:r>
          </w:p>
        </w:tc>
        <w:tc>
          <w:tcPr>
            <w:tcW w:w="1133" w:type="dxa"/>
            <w:vMerge w:val="restart"/>
            <w:tcBorders>
              <w:righ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tcBorders>
              <w:left w:val="nil"/>
            </w:tcBorders>
          </w:tcPr>
          <w:p>
            <w:pPr>
              <w:pStyle w:val="40"/>
              <w:widowControl/>
              <w:adjustRightInd w:val="0"/>
              <w:spacing w:line="400" w:lineRule="exact"/>
              <w:ind w:firstLine="0" w:firstLineChars="0"/>
              <w:jc w:val="center"/>
              <w:rPr>
                <w:rFonts w:ascii="宋体" w:hAnsi="宋体"/>
                <w:szCs w:val="21"/>
              </w:rPr>
            </w:pPr>
          </w:p>
        </w:tc>
        <w:tc>
          <w:tcPr>
            <w:tcW w:w="1132"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一星</w:t>
            </w:r>
          </w:p>
        </w:tc>
        <w:tc>
          <w:tcPr>
            <w:tcW w:w="1133"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一星</w:t>
            </w:r>
            <w:r>
              <w:rPr>
                <w:rFonts w:ascii="Times New Roman" w:hAnsi="Times New Roman" w:cs="Times New Roman"/>
                <w:szCs w:val="21"/>
              </w:rPr>
              <w:t>A</w:t>
            </w:r>
          </w:p>
        </w:tc>
        <w:tc>
          <w:tcPr>
            <w:tcW w:w="1133"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一星</w:t>
            </w:r>
            <w:r>
              <w:rPr>
                <w:rFonts w:hint="eastAsia" w:ascii="Times New Roman" w:hAnsi="Times New Roman" w:cs="Times New Roman"/>
                <w:szCs w:val="21"/>
              </w:rPr>
              <w:t>B</w:t>
            </w:r>
          </w:p>
        </w:tc>
        <w:tc>
          <w:tcPr>
            <w:tcW w:w="1133"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二星</w:t>
            </w:r>
          </w:p>
        </w:tc>
        <w:tc>
          <w:tcPr>
            <w:tcW w:w="1134"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二星</w:t>
            </w:r>
            <w:r>
              <w:rPr>
                <w:rFonts w:hint="eastAsia" w:ascii="Times New Roman" w:hAnsi="Times New Roman" w:cs="Times New Roman"/>
                <w:szCs w:val="21"/>
              </w:rPr>
              <w:t>A</w:t>
            </w:r>
          </w:p>
        </w:tc>
        <w:tc>
          <w:tcPr>
            <w:tcW w:w="1133"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二星</w:t>
            </w:r>
            <w:r>
              <w:rPr>
                <w:rFonts w:hint="eastAsia" w:ascii="Times New Roman" w:hAnsi="Times New Roman" w:cs="Times New Roman"/>
                <w:szCs w:val="21"/>
              </w:rPr>
              <w:t>B</w:t>
            </w:r>
          </w:p>
        </w:tc>
        <w:tc>
          <w:tcPr>
            <w:tcW w:w="1133" w:type="dxa"/>
            <w:vMerge w:val="continue"/>
            <w:tcBorders>
              <w:right w:val="nil"/>
            </w:tcBorders>
          </w:tcPr>
          <w:p>
            <w:pPr>
              <w:pStyle w:val="40"/>
              <w:widowControl/>
              <w:adjustRightInd w:val="0"/>
              <w:spacing w:line="400" w:lineRule="exact"/>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居住建筑</w:t>
            </w:r>
          </w:p>
        </w:tc>
        <w:tc>
          <w:tcPr>
            <w:tcW w:w="1132"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21</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29</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w:t>
            </w:r>
          </w:p>
        </w:tc>
        <w:tc>
          <w:tcPr>
            <w:tcW w:w="1134"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w:t>
            </w:r>
          </w:p>
        </w:tc>
        <w:tc>
          <w:tcPr>
            <w:tcW w:w="1133"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w:t>
            </w:r>
          </w:p>
        </w:tc>
        <w:tc>
          <w:tcPr>
            <w:tcW w:w="1132"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4"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w:t>
            </w:r>
          </w:p>
        </w:tc>
        <w:tc>
          <w:tcPr>
            <w:tcW w:w="1132"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4"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w:t>
            </w:r>
          </w:p>
        </w:tc>
        <w:tc>
          <w:tcPr>
            <w:tcW w:w="1132"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4"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 w:val="24"/>
              </w:rPr>
              <w:t>—</w:t>
            </w:r>
          </w:p>
        </w:tc>
        <w:tc>
          <w:tcPr>
            <w:tcW w:w="1133"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33"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r>
    </w:tbl>
    <w:p>
      <w:pPr>
        <w:pStyle w:val="40"/>
        <w:widowControl/>
        <w:adjustRightInd w:val="0"/>
        <w:spacing w:line="360" w:lineRule="auto"/>
        <w:ind w:firstLine="0" w:firstLineChars="0"/>
        <w:jc w:val="center"/>
        <w:rPr>
          <w:rFonts w:ascii="宋体" w:hAnsi="宋体"/>
          <w:szCs w:val="21"/>
        </w:rPr>
      </w:pPr>
    </w:p>
    <w:p>
      <w:pPr>
        <w:pStyle w:val="40"/>
        <w:widowControl/>
        <w:adjustRightInd w:val="0"/>
        <w:spacing w:line="360" w:lineRule="auto"/>
        <w:ind w:firstLine="0" w:firstLineChars="0"/>
        <w:jc w:val="center"/>
        <w:rPr>
          <w:rFonts w:ascii="宋体" w:hAnsi="宋体"/>
          <w:szCs w:val="21"/>
        </w:rPr>
      </w:pPr>
      <w:r>
        <w:rPr>
          <w:rFonts w:hint="eastAsia" w:ascii="宋体" w:hAnsi="宋体"/>
          <w:szCs w:val="21"/>
        </w:rPr>
        <w:t xml:space="preserve">表 </w:t>
      </w:r>
      <w:r>
        <w:rPr>
          <w:rFonts w:ascii="Times New Roman" w:hAnsi="Times New Roman" w:cs="Times New Roman"/>
          <w:szCs w:val="21"/>
        </w:rPr>
        <w:t>2</w:t>
      </w:r>
      <w:r>
        <w:rPr>
          <w:rFonts w:hint="eastAsia" w:ascii="宋体" w:hAnsi="宋体"/>
          <w:szCs w:val="21"/>
        </w:rPr>
        <w:t>-</w:t>
      </w:r>
      <w:r>
        <w:rPr>
          <w:rFonts w:hint="eastAsia" w:ascii="Times New Roman" w:hAnsi="Times New Roman" w:cs="Times New Roman"/>
          <w:szCs w:val="21"/>
        </w:rPr>
        <w:t>1</w:t>
      </w:r>
      <w:r>
        <w:rPr>
          <w:rFonts w:hint="eastAsia" w:ascii="宋体" w:hAnsi="宋体"/>
          <w:szCs w:val="21"/>
        </w:rPr>
        <w:t xml:space="preserve"> 绿色建筑设计标识项目的星级类型（续）</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建筑类型</w:t>
            </w:r>
          </w:p>
        </w:tc>
        <w:tc>
          <w:tcPr>
            <w:tcW w:w="6965" w:type="dxa"/>
            <w:gridSpan w:val="6"/>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绿色建筑评价标识项目星级类型</w:t>
            </w:r>
          </w:p>
        </w:tc>
        <w:tc>
          <w:tcPr>
            <w:tcW w:w="1161" w:type="dxa"/>
            <w:vMerge w:val="restart"/>
            <w:tcBorders>
              <w:righ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left w:val="nil"/>
            </w:tcBorders>
          </w:tcPr>
          <w:p>
            <w:pPr>
              <w:pStyle w:val="40"/>
              <w:widowControl/>
              <w:adjustRightInd w:val="0"/>
              <w:spacing w:line="400" w:lineRule="exact"/>
              <w:ind w:firstLine="0" w:firstLineChars="0"/>
              <w:jc w:val="center"/>
              <w:rPr>
                <w:rFonts w:ascii="宋体" w:hAnsi="宋体"/>
                <w:szCs w:val="21"/>
              </w:rPr>
            </w:pPr>
          </w:p>
        </w:tc>
        <w:tc>
          <w:tcPr>
            <w:tcW w:w="1160"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一星</w:t>
            </w:r>
          </w:p>
        </w:tc>
        <w:tc>
          <w:tcPr>
            <w:tcW w:w="1161"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一星</w:t>
            </w:r>
            <w:r>
              <w:rPr>
                <w:rFonts w:ascii="Times New Roman" w:hAnsi="Times New Roman" w:cs="Times New Roman"/>
                <w:szCs w:val="21"/>
              </w:rPr>
              <w:t>A</w:t>
            </w:r>
          </w:p>
        </w:tc>
        <w:tc>
          <w:tcPr>
            <w:tcW w:w="1161"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一星</w:t>
            </w:r>
            <w:r>
              <w:rPr>
                <w:rFonts w:hint="eastAsia" w:ascii="Times New Roman" w:hAnsi="Times New Roman" w:cs="Times New Roman"/>
                <w:szCs w:val="21"/>
              </w:rPr>
              <w:t>B</w:t>
            </w:r>
          </w:p>
        </w:tc>
        <w:tc>
          <w:tcPr>
            <w:tcW w:w="1161"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二星</w:t>
            </w:r>
          </w:p>
        </w:tc>
        <w:tc>
          <w:tcPr>
            <w:tcW w:w="1161"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二星</w:t>
            </w:r>
            <w:r>
              <w:rPr>
                <w:rFonts w:ascii="Times New Roman" w:hAnsi="Times New Roman" w:cs="Times New Roman"/>
                <w:szCs w:val="21"/>
              </w:rPr>
              <w:t>A</w:t>
            </w:r>
          </w:p>
        </w:tc>
        <w:tc>
          <w:tcPr>
            <w:tcW w:w="1161" w:type="dxa"/>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二星</w:t>
            </w:r>
            <w:r>
              <w:rPr>
                <w:rFonts w:hint="eastAsia" w:ascii="Times New Roman" w:hAnsi="Times New Roman" w:cs="Times New Roman"/>
                <w:szCs w:val="21"/>
              </w:rPr>
              <w:t>B</w:t>
            </w:r>
          </w:p>
        </w:tc>
        <w:tc>
          <w:tcPr>
            <w:tcW w:w="1161" w:type="dxa"/>
            <w:vMerge w:val="continue"/>
            <w:tcBorders>
              <w:right w:val="nil"/>
            </w:tcBorders>
          </w:tcPr>
          <w:p>
            <w:pPr>
              <w:pStyle w:val="40"/>
              <w:widowControl/>
              <w:adjustRightInd w:val="0"/>
              <w:spacing w:line="400" w:lineRule="exact"/>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w:t>
            </w:r>
          </w:p>
        </w:tc>
        <w:tc>
          <w:tcPr>
            <w:tcW w:w="1160"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 w:val="24"/>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w:t>
            </w:r>
          </w:p>
        </w:tc>
        <w:tc>
          <w:tcPr>
            <w:tcW w:w="1160"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 w:val="24"/>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161"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公共建筑</w:t>
            </w:r>
          </w:p>
        </w:tc>
        <w:tc>
          <w:tcPr>
            <w:tcW w:w="1160"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10</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15</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19</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8</w:t>
            </w:r>
          </w:p>
        </w:tc>
        <w:tc>
          <w:tcPr>
            <w:tcW w:w="1161"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Borders>
              <w:left w:val="nil"/>
            </w:tcBorders>
          </w:tcPr>
          <w:p>
            <w:pPr>
              <w:pStyle w:val="40"/>
              <w:widowControl/>
              <w:adjustRightInd w:val="0"/>
              <w:spacing w:line="400" w:lineRule="exact"/>
              <w:ind w:firstLine="0" w:firstLineChars="0"/>
              <w:jc w:val="center"/>
              <w:rPr>
                <w:rFonts w:ascii="宋体" w:hAnsi="宋体"/>
                <w:szCs w:val="21"/>
              </w:rPr>
            </w:pPr>
            <w:r>
              <w:rPr>
                <w:rFonts w:hint="eastAsia" w:ascii="宋体" w:hAnsi="宋体"/>
                <w:szCs w:val="21"/>
              </w:rPr>
              <w:t>合计</w:t>
            </w:r>
          </w:p>
        </w:tc>
        <w:tc>
          <w:tcPr>
            <w:tcW w:w="1160"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31</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44</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10</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22</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7</w:t>
            </w:r>
          </w:p>
        </w:tc>
        <w:tc>
          <w:tcPr>
            <w:tcW w:w="1161" w:type="dxa"/>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113</w:t>
            </w:r>
          </w:p>
        </w:tc>
        <w:tc>
          <w:tcPr>
            <w:tcW w:w="1161" w:type="dxa"/>
            <w:tcBorders>
              <w:right w:val="nil"/>
            </w:tcBorders>
          </w:tcPr>
          <w:p>
            <w:pPr>
              <w:pStyle w:val="40"/>
              <w:widowControl/>
              <w:adjustRightInd w:val="0"/>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127</w:t>
            </w:r>
          </w:p>
        </w:tc>
      </w:tr>
    </w:tbl>
    <w:p>
      <w:pPr>
        <w:pStyle w:val="40"/>
        <w:widowControl/>
        <w:adjustRightInd w:val="0"/>
        <w:spacing w:line="360" w:lineRule="auto"/>
        <w:ind w:firstLine="480"/>
        <w:jc w:val="left"/>
        <w:rPr>
          <w:rFonts w:ascii="宋体" w:hAnsi="宋体"/>
          <w:sz w:val="24"/>
        </w:rPr>
      </w:pPr>
      <w:r>
        <w:rPr>
          <w:rFonts w:hint="eastAsia" w:asciiTheme="minorEastAsia" w:hAnsiTheme="minorEastAsia" w:cstheme="minorEastAsia"/>
          <w:sz w:val="24"/>
          <w:lang w:bidi="ar"/>
        </w:rPr>
        <w:t>从上表数据显示分析可得，在获得绿色建筑标识的</w:t>
      </w:r>
      <w:r>
        <w:rPr>
          <w:rFonts w:ascii="Times New Roman" w:hAnsi="Times New Roman" w:cs="Times New Roman"/>
          <w:sz w:val="24"/>
          <w:lang w:bidi="ar"/>
        </w:rPr>
        <w:t>65</w:t>
      </w:r>
      <w:r>
        <w:rPr>
          <w:rFonts w:hint="eastAsia" w:asciiTheme="minorEastAsia" w:hAnsiTheme="minorEastAsia" w:cstheme="minorEastAsia"/>
          <w:sz w:val="24"/>
          <w:lang w:bidi="ar"/>
        </w:rPr>
        <w:t>项住宅建筑项目中，一星级的绿色建筑占比较高，为</w:t>
      </w:r>
      <w:r>
        <w:rPr>
          <w:rFonts w:hint="eastAsia" w:ascii="Times New Roman" w:hAnsi="Times New Roman" w:cs="Times New Roman"/>
          <w:sz w:val="24"/>
          <w:lang w:bidi="ar"/>
        </w:rPr>
        <w:t>55</w:t>
      </w:r>
      <w:r>
        <w:rPr>
          <w:rFonts w:hint="eastAsia" w:asciiTheme="minorEastAsia" w:hAnsiTheme="minorEastAsia" w:cstheme="minorEastAsia"/>
          <w:sz w:val="24"/>
          <w:lang w:bidi="ar"/>
        </w:rPr>
        <w:t>项。在获得绿色建筑标识项目中，公共建筑二星级占比稍高，为</w:t>
      </w:r>
      <w:r>
        <w:rPr>
          <w:rFonts w:hint="eastAsia" w:ascii="Times New Roman" w:hAnsi="Times New Roman" w:cs="Times New Roman"/>
          <w:sz w:val="24"/>
          <w:lang w:bidi="ar"/>
        </w:rPr>
        <w:t>62</w:t>
      </w:r>
      <w:r>
        <w:rPr>
          <w:rFonts w:hint="eastAsia" w:asciiTheme="minorEastAsia" w:hAnsiTheme="minorEastAsia" w:cstheme="minorEastAsia"/>
          <w:sz w:val="24"/>
          <w:lang w:bidi="ar"/>
        </w:rPr>
        <w:t>项。从这些数据分析，目前广东地区获得所有绿色建筑标识项目中，一星级共</w:t>
      </w:r>
      <w:r>
        <w:rPr>
          <w:rFonts w:hint="eastAsia" w:ascii="Times New Roman" w:hAnsi="Times New Roman" w:cs="Times New Roman"/>
          <w:sz w:val="24"/>
          <w:lang w:bidi="ar"/>
        </w:rPr>
        <w:t>85</w:t>
      </w:r>
      <w:r>
        <w:rPr>
          <w:rFonts w:hint="eastAsia" w:asciiTheme="minorEastAsia" w:hAnsiTheme="minorEastAsia" w:cstheme="minorEastAsia"/>
          <w:sz w:val="24"/>
          <w:lang w:bidi="ar"/>
        </w:rPr>
        <w:t>项，约占总项目数的</w:t>
      </w:r>
      <w:r>
        <w:rPr>
          <w:rFonts w:hint="eastAsia" w:ascii="Times New Roman" w:hAnsi="Times New Roman" w:cs="Times New Roman"/>
          <w:sz w:val="24"/>
          <w:lang w:bidi="ar"/>
        </w:rPr>
        <w:t>67%</w:t>
      </w:r>
      <w:r>
        <w:rPr>
          <w:rFonts w:hint="eastAsia" w:asciiTheme="minorEastAsia" w:hAnsiTheme="minorEastAsia" w:cstheme="minorEastAsia"/>
          <w:sz w:val="24"/>
          <w:lang w:bidi="ar"/>
        </w:rPr>
        <w:t>。</w:t>
      </w:r>
    </w:p>
    <w:p>
      <w:pPr>
        <w:pStyle w:val="4"/>
        <w:spacing w:before="166" w:beforeLines="50" w:after="166" w:afterLines="50" w:line="360" w:lineRule="auto"/>
        <w:ind w:left="720" w:hanging="720"/>
        <w:rPr>
          <w:rFonts w:cs="黑体"/>
          <w:color w:val="000000"/>
          <w:szCs w:val="28"/>
        </w:rPr>
      </w:pPr>
      <w:bookmarkStart w:id="126" w:name="_Toc10919"/>
      <w:bookmarkStart w:id="127" w:name="_Toc17550"/>
      <w:bookmarkStart w:id="128" w:name="_Toc24130"/>
      <w:bookmarkStart w:id="129" w:name="_Toc3895"/>
      <w:bookmarkStart w:id="130" w:name="_Toc16175"/>
      <w:bookmarkStart w:id="131" w:name="_Toc26295"/>
      <w:r>
        <w:rPr>
          <w:rFonts w:hint="eastAsia" w:ascii="Times New Roman" w:hAnsi="Times New Roman" w:cs="Times New Roman"/>
          <w:color w:val="000000"/>
          <w:szCs w:val="28"/>
        </w:rPr>
        <w:t>2.3.3</w:t>
      </w:r>
      <w:r>
        <w:rPr>
          <w:rFonts w:hint="eastAsia" w:cs="黑体"/>
          <w:color w:val="000000"/>
          <w:szCs w:val="28"/>
        </w:rPr>
        <w:t>广东绿色建筑设计项目现状问题思考</w:t>
      </w:r>
      <w:bookmarkEnd w:id="126"/>
      <w:bookmarkEnd w:id="127"/>
      <w:bookmarkEnd w:id="128"/>
      <w:bookmarkEnd w:id="129"/>
      <w:bookmarkEnd w:id="130"/>
      <w:bookmarkEnd w:id="131"/>
    </w:p>
    <w:p>
      <w:pPr>
        <w:spacing w:line="360" w:lineRule="auto"/>
        <w:ind w:firstLine="420" w:firstLineChars="175"/>
        <w:jc w:val="left"/>
        <w:rPr>
          <w:rFonts w:ascii="宋体" w:hAnsi="宋体" w:cs="宋体"/>
          <w:sz w:val="24"/>
        </w:rPr>
      </w:pPr>
      <w:bookmarkStart w:id="132" w:name="_Toc30966"/>
      <w:r>
        <w:rPr>
          <w:rFonts w:hint="eastAsia" w:ascii="宋体" w:hAnsi="宋体" w:cs="宋体"/>
          <w:sz w:val="24"/>
        </w:rPr>
        <w:t>……</w:t>
      </w:r>
    </w:p>
    <w:p>
      <w:pPr>
        <w:pStyle w:val="3"/>
        <w:spacing w:before="166" w:beforeLines="50" w:after="163" w:line="360" w:lineRule="auto"/>
        <w:jc w:val="left"/>
        <w:rPr>
          <w:rFonts w:cs="黑体"/>
          <w:color w:val="000000"/>
          <w:sz w:val="30"/>
          <w:szCs w:val="30"/>
        </w:rPr>
      </w:pPr>
      <w:bookmarkStart w:id="133" w:name="_Toc15828"/>
      <w:bookmarkStart w:id="134" w:name="_Toc28698"/>
      <w:bookmarkStart w:id="135" w:name="_Toc1094"/>
      <w:bookmarkStart w:id="136" w:name="_Toc3751"/>
      <w:bookmarkStart w:id="137" w:name="_Toc21160"/>
      <w:r>
        <w:rPr>
          <w:rFonts w:hint="eastAsia" w:ascii="Times New Roman" w:hAnsi="Times New Roman" w:cs="Times New Roman"/>
          <w:color w:val="000000"/>
          <w:sz w:val="30"/>
          <w:szCs w:val="30"/>
        </w:rPr>
        <w:t>2.4</w:t>
      </w:r>
      <w:r>
        <w:rPr>
          <w:rFonts w:hint="eastAsia" w:cs="黑体"/>
          <w:color w:val="000000"/>
          <w:sz w:val="30"/>
          <w:szCs w:val="30"/>
        </w:rPr>
        <w:t xml:space="preserve"> 本章小结</w:t>
      </w:r>
      <w:bookmarkEnd w:id="132"/>
      <w:bookmarkEnd w:id="133"/>
      <w:bookmarkEnd w:id="134"/>
      <w:bookmarkEnd w:id="135"/>
      <w:bookmarkEnd w:id="136"/>
      <w:bookmarkEnd w:id="137"/>
      <w:r>
        <w:rPr>
          <w:rFonts w:hint="eastAsia" w:cs="黑体"/>
          <w:color w:val="000000"/>
          <w:sz w:val="30"/>
          <w:szCs w:val="30"/>
        </w:rPr>
        <w:t xml:space="preserve"> </w:t>
      </w:r>
    </w:p>
    <w:p>
      <w:pPr>
        <w:spacing w:line="360" w:lineRule="auto"/>
        <w:ind w:firstLine="420" w:firstLineChars="175"/>
        <w:jc w:val="left"/>
        <w:rPr>
          <w:rFonts w:ascii="宋体" w:hAnsi="宋体" w:cs="宋体"/>
          <w:sz w:val="24"/>
        </w:rPr>
      </w:pPr>
      <w:r>
        <w:rPr>
          <w:rFonts w:hint="eastAsia" w:asciiTheme="minorEastAsia" w:hAnsiTheme="minorEastAsia" w:cstheme="minorEastAsia"/>
          <w:sz w:val="24"/>
          <w:lang w:bidi="ar"/>
        </w:rPr>
        <w:t>本章首先阐述绿色建筑概念，然后对绿色建筑评价体系进行系统分析，明确绿色建筑评价程序内容。另外重点结合广东省绿色建筑发展现状，分析</w:t>
      </w:r>
      <w:r>
        <w:rPr>
          <w:rFonts w:hint="eastAsia" w:ascii="Times New Roman" w:hAnsi="Times New Roman" w:cs="Times New Roman"/>
          <w:sz w:val="24"/>
          <w:lang w:bidi="ar"/>
        </w:rPr>
        <w:t>2008</w:t>
      </w:r>
      <w:r>
        <w:rPr>
          <w:rFonts w:hint="eastAsia" w:asciiTheme="minorEastAsia" w:hAnsiTheme="minorEastAsia" w:cstheme="minorEastAsia"/>
          <w:sz w:val="24"/>
          <w:lang w:bidi="ar"/>
        </w:rPr>
        <w:t>-</w:t>
      </w:r>
      <w:r>
        <w:rPr>
          <w:rFonts w:hint="eastAsia" w:ascii="Times New Roman" w:hAnsi="Times New Roman" w:cs="Times New Roman"/>
          <w:sz w:val="24"/>
          <w:lang w:bidi="ar"/>
        </w:rPr>
        <w:t>2014</w:t>
      </w:r>
      <w:r>
        <w:rPr>
          <w:rFonts w:hint="eastAsia" w:asciiTheme="minorEastAsia" w:hAnsiTheme="minorEastAsia" w:cstheme="minorEastAsia"/>
          <w:sz w:val="24"/>
          <w:lang w:bidi="ar"/>
        </w:rPr>
        <w:t>年期间广东省绿色建筑发展概况，并结合这些绿色建筑评价标识项目分析广东省广东地区绿色建筑现状问题为建筑设计的绿色“缺失”、建筑师对绿色建筑的认识认知偏差、绿色建筑的“创新”不够，以期为后期的绿色建筑设计策略提供理论依据。</w:t>
      </w:r>
    </w:p>
    <w:p>
      <w:pPr>
        <w:spacing w:line="360" w:lineRule="auto"/>
        <w:ind w:firstLine="420" w:firstLineChars="175"/>
        <w:jc w:val="left"/>
        <w:rPr>
          <w:rFonts w:ascii="宋体" w:hAnsi="宋体" w:cs="宋体"/>
          <w:sz w:val="24"/>
        </w:rPr>
      </w:pPr>
    </w:p>
    <w:p>
      <w:pPr>
        <w:spacing w:line="360" w:lineRule="auto"/>
        <w:ind w:firstLine="420" w:firstLineChars="175"/>
        <w:jc w:val="left"/>
        <w:rPr>
          <w:rFonts w:ascii="宋体" w:hAnsi="宋体" w:cs="宋体"/>
          <w:sz w:val="24"/>
        </w:rPr>
        <w:sectPr>
          <w:pgSz w:w="11906" w:h="16838"/>
          <w:pgMar w:top="1417" w:right="1417" w:bottom="1417" w:left="1417" w:header="851" w:footer="850" w:gutter="0"/>
          <w:cols w:space="0" w:num="1"/>
          <w:titlePg/>
          <w:docGrid w:type="lines" w:linePitch="333" w:charSpace="0"/>
        </w:sectPr>
      </w:pPr>
    </w:p>
    <w:p>
      <w:pPr>
        <w:pStyle w:val="2"/>
        <w:spacing w:before="333" w:beforeLines="100" w:after="333" w:afterLines="100" w:line="360" w:lineRule="auto"/>
        <w:jc w:val="center"/>
        <w:rPr>
          <w:sz w:val="36"/>
          <w:szCs w:val="36"/>
        </w:rPr>
      </w:pPr>
      <w:bookmarkStart w:id="138" w:name="_Toc25620"/>
      <w:bookmarkStart w:id="139" w:name="_Toc21975"/>
      <w:bookmarkStart w:id="140" w:name="_Toc7721"/>
      <w:bookmarkStart w:id="141" w:name="_Toc24274"/>
      <w:bookmarkStart w:id="142" w:name="_Toc25451"/>
      <w:bookmarkStart w:id="143" w:name="_Toc32402"/>
      <w:r>
        <w:rPr>
          <w:rFonts w:hint="eastAsia" w:ascii="黑体" w:hAnsi="黑体" w:eastAsia="黑体" w:cs="黑体"/>
          <w:sz w:val="36"/>
          <w:szCs w:val="36"/>
        </w:rPr>
        <w:t>第三章 绿色建筑理念下住宅建筑设计技术与策略建议</w:t>
      </w:r>
      <w:bookmarkEnd w:id="138"/>
      <w:bookmarkEnd w:id="139"/>
      <w:bookmarkEnd w:id="140"/>
      <w:bookmarkEnd w:id="141"/>
      <w:bookmarkEnd w:id="142"/>
      <w:bookmarkEnd w:id="143"/>
    </w:p>
    <w:p>
      <w:pPr>
        <w:pStyle w:val="3"/>
        <w:spacing w:before="166" w:beforeLines="50" w:after="163" w:line="360" w:lineRule="auto"/>
        <w:jc w:val="left"/>
        <w:rPr>
          <w:rFonts w:cs="黑体"/>
          <w:color w:val="000000"/>
          <w:sz w:val="30"/>
          <w:szCs w:val="30"/>
        </w:rPr>
      </w:pPr>
      <w:bookmarkStart w:id="144" w:name="_Toc16660"/>
      <w:bookmarkStart w:id="145" w:name="_Toc24590"/>
      <w:bookmarkStart w:id="146" w:name="_Toc10486"/>
      <w:bookmarkStart w:id="147" w:name="_Toc11834"/>
      <w:bookmarkStart w:id="148" w:name="_Toc13013"/>
      <w:bookmarkStart w:id="149" w:name="_Toc17492"/>
      <w:r>
        <w:rPr>
          <w:rFonts w:hint="eastAsia" w:ascii="Times New Roman" w:hAnsi="Times New Roman" w:cs="Times New Roman"/>
          <w:color w:val="000000"/>
          <w:sz w:val="30"/>
          <w:szCs w:val="30"/>
        </w:rPr>
        <w:t>3.1</w:t>
      </w:r>
      <w:r>
        <w:rPr>
          <w:rFonts w:hint="eastAsia" w:cs="黑体"/>
          <w:color w:val="000000"/>
          <w:sz w:val="30"/>
          <w:szCs w:val="30"/>
        </w:rPr>
        <w:t>绿色技术建议</w:t>
      </w:r>
      <w:bookmarkEnd w:id="144"/>
      <w:bookmarkEnd w:id="145"/>
      <w:bookmarkEnd w:id="146"/>
      <w:bookmarkEnd w:id="147"/>
      <w:bookmarkEnd w:id="148"/>
      <w:bookmarkEnd w:id="149"/>
    </w:p>
    <w:p>
      <w:pPr>
        <w:pStyle w:val="4"/>
        <w:spacing w:before="166" w:beforeLines="50" w:after="166" w:afterLines="50" w:line="360" w:lineRule="auto"/>
        <w:ind w:left="720" w:hanging="720"/>
        <w:rPr>
          <w:rFonts w:cs="黑体"/>
          <w:color w:val="000000"/>
          <w:szCs w:val="28"/>
        </w:rPr>
      </w:pPr>
      <w:bookmarkStart w:id="150" w:name="_Toc8248"/>
      <w:bookmarkStart w:id="151" w:name="_Toc8914"/>
      <w:bookmarkStart w:id="152" w:name="_Toc15936"/>
      <w:bookmarkStart w:id="153" w:name="_Toc32265"/>
      <w:bookmarkStart w:id="154" w:name="_Toc21675"/>
      <w:bookmarkStart w:id="155" w:name="_Toc13777"/>
      <w:r>
        <w:rPr>
          <w:rFonts w:hint="eastAsia" w:ascii="Times New Roman" w:hAnsi="Times New Roman" w:cs="Times New Roman"/>
          <w:color w:val="000000"/>
          <w:szCs w:val="28"/>
        </w:rPr>
        <w:t>3.1.1</w:t>
      </w:r>
      <w:r>
        <w:rPr>
          <w:rFonts w:hint="eastAsia" w:cs="黑体"/>
          <w:color w:val="000000"/>
          <w:szCs w:val="28"/>
        </w:rPr>
        <w:t>广东地区绿色住宅建设特点分析</w:t>
      </w:r>
      <w:bookmarkEnd w:id="150"/>
      <w:bookmarkEnd w:id="151"/>
      <w:bookmarkEnd w:id="152"/>
      <w:bookmarkEnd w:id="153"/>
      <w:bookmarkEnd w:id="154"/>
      <w:bookmarkEnd w:id="155"/>
    </w:p>
    <w:p>
      <w:pPr>
        <w:spacing w:line="360" w:lineRule="auto"/>
        <w:ind w:firstLine="420" w:firstLineChars="175"/>
        <w:jc w:val="left"/>
        <w:rPr>
          <w:rFonts w:ascii="宋体" w:hAnsi="宋体" w:cs="宋体"/>
          <w:sz w:val="24"/>
        </w:rPr>
      </w:pPr>
      <w:bookmarkStart w:id="156" w:name="_Toc4707"/>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157" w:name="_Toc4837"/>
      <w:bookmarkStart w:id="158" w:name="_Toc13793"/>
      <w:bookmarkStart w:id="159" w:name="_Toc16938"/>
      <w:bookmarkStart w:id="160" w:name="_Toc6868"/>
      <w:bookmarkStart w:id="161" w:name="_Toc29571"/>
      <w:r>
        <w:rPr>
          <w:rFonts w:hint="eastAsia" w:cs="黑体"/>
          <w:color w:val="000000"/>
          <w:szCs w:val="28"/>
        </w:rPr>
        <w:t>3</w:t>
      </w:r>
      <w:r>
        <w:rPr>
          <w:rFonts w:hint="eastAsia" w:ascii="Times New Roman" w:hAnsi="Times New Roman" w:cs="Times New Roman"/>
          <w:color w:val="000000"/>
          <w:szCs w:val="28"/>
        </w:rPr>
        <w:t>.1.2</w:t>
      </w:r>
      <w:r>
        <w:rPr>
          <w:rFonts w:hint="eastAsia" w:cs="黑体"/>
          <w:color w:val="000000"/>
          <w:szCs w:val="28"/>
        </w:rPr>
        <w:t>广东地区绿色住宅可用绿色技术建议</w:t>
      </w:r>
      <w:bookmarkEnd w:id="156"/>
      <w:bookmarkEnd w:id="157"/>
      <w:bookmarkEnd w:id="158"/>
      <w:bookmarkEnd w:id="159"/>
      <w:bookmarkEnd w:id="160"/>
      <w:bookmarkEnd w:id="161"/>
    </w:p>
    <w:p>
      <w:pPr>
        <w:spacing w:line="360" w:lineRule="auto"/>
        <w:ind w:firstLine="420" w:firstLineChars="175"/>
        <w:jc w:val="left"/>
        <w:rPr>
          <w:rFonts w:ascii="宋体" w:hAnsi="宋体" w:cs="宋体"/>
          <w:sz w:val="24"/>
        </w:rPr>
      </w:pPr>
      <w:r>
        <w:rPr>
          <w:rFonts w:hint="eastAsia" w:ascii="宋体" w:hAnsi="宋体" w:cs="宋体"/>
          <w:sz w:val="24"/>
        </w:rPr>
        <w:t>……</w:t>
      </w:r>
    </w:p>
    <w:p>
      <w:pPr>
        <w:pStyle w:val="3"/>
        <w:spacing w:before="166" w:beforeLines="50" w:after="163" w:line="360" w:lineRule="auto"/>
        <w:jc w:val="left"/>
        <w:rPr>
          <w:rFonts w:cs="黑体"/>
          <w:color w:val="000000"/>
          <w:sz w:val="30"/>
          <w:szCs w:val="30"/>
        </w:rPr>
      </w:pPr>
      <w:bookmarkStart w:id="162" w:name="_Toc29263"/>
      <w:bookmarkStart w:id="163" w:name="_Toc31594"/>
      <w:bookmarkStart w:id="164" w:name="_Toc11135"/>
      <w:bookmarkStart w:id="165" w:name="_Toc20758"/>
      <w:bookmarkStart w:id="166" w:name="_Toc12582"/>
      <w:bookmarkStart w:id="167" w:name="_Toc30397"/>
      <w:r>
        <w:rPr>
          <w:rFonts w:hint="eastAsia" w:ascii="Times New Roman" w:hAnsi="Times New Roman" w:cs="Times New Roman"/>
          <w:color w:val="000000"/>
          <w:sz w:val="30"/>
          <w:szCs w:val="30"/>
        </w:rPr>
        <w:t>3.2</w:t>
      </w:r>
      <w:r>
        <w:rPr>
          <w:rFonts w:hint="eastAsia" w:cs="黑体"/>
          <w:color w:val="000000"/>
          <w:sz w:val="30"/>
          <w:szCs w:val="30"/>
        </w:rPr>
        <w:t>绿色住宅建筑设计策略</w:t>
      </w:r>
      <w:bookmarkEnd w:id="162"/>
      <w:bookmarkEnd w:id="163"/>
      <w:bookmarkEnd w:id="164"/>
      <w:bookmarkEnd w:id="165"/>
      <w:bookmarkEnd w:id="166"/>
      <w:bookmarkEnd w:id="167"/>
    </w:p>
    <w:p>
      <w:pPr>
        <w:pStyle w:val="4"/>
        <w:spacing w:before="166" w:beforeLines="50" w:after="166" w:afterLines="50" w:line="360" w:lineRule="auto"/>
        <w:ind w:left="720" w:hanging="720"/>
        <w:rPr>
          <w:rFonts w:cs="黑体"/>
          <w:color w:val="000000"/>
          <w:szCs w:val="28"/>
        </w:rPr>
      </w:pPr>
      <w:bookmarkStart w:id="168" w:name="_Toc31473"/>
      <w:bookmarkStart w:id="169" w:name="_Toc1045"/>
      <w:bookmarkStart w:id="170" w:name="_Toc6531"/>
      <w:bookmarkStart w:id="171" w:name="_Toc19707"/>
      <w:bookmarkStart w:id="172" w:name="_Toc31012"/>
      <w:bookmarkStart w:id="173" w:name="_Toc16324"/>
      <w:r>
        <w:rPr>
          <w:rFonts w:hint="eastAsia" w:ascii="Times New Roman" w:hAnsi="Times New Roman" w:cs="Times New Roman"/>
          <w:color w:val="000000"/>
          <w:szCs w:val="28"/>
        </w:rPr>
        <w:t>3.2.1</w:t>
      </w:r>
      <w:r>
        <w:rPr>
          <w:rFonts w:hint="eastAsia" w:cs="黑体"/>
          <w:color w:val="000000"/>
          <w:szCs w:val="28"/>
        </w:rPr>
        <w:t>优化空间布局</w:t>
      </w:r>
      <w:bookmarkEnd w:id="168"/>
      <w:bookmarkEnd w:id="169"/>
      <w:bookmarkEnd w:id="170"/>
      <w:bookmarkEnd w:id="171"/>
      <w:bookmarkEnd w:id="172"/>
      <w:bookmarkEnd w:id="173"/>
    </w:p>
    <w:p>
      <w:pPr>
        <w:spacing w:line="360" w:lineRule="auto"/>
        <w:ind w:firstLine="420" w:firstLineChars="175"/>
        <w:jc w:val="left"/>
        <w:rPr>
          <w:rFonts w:ascii="宋体" w:hAnsi="宋体" w:cs="宋体"/>
          <w:sz w:val="24"/>
        </w:rPr>
      </w:pPr>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174" w:name="_Toc15156"/>
      <w:bookmarkStart w:id="175" w:name="_Toc8424"/>
      <w:bookmarkStart w:id="176" w:name="_Toc18876"/>
      <w:bookmarkStart w:id="177" w:name="_Toc17108"/>
      <w:bookmarkStart w:id="178" w:name="_Toc12249"/>
      <w:bookmarkStart w:id="179" w:name="_Toc13665"/>
      <w:r>
        <w:rPr>
          <w:rFonts w:hint="eastAsia" w:ascii="Times New Roman" w:hAnsi="Times New Roman" w:cs="Times New Roman"/>
          <w:color w:val="000000"/>
          <w:szCs w:val="28"/>
        </w:rPr>
        <w:t>3.2.2</w:t>
      </w:r>
      <w:r>
        <w:rPr>
          <w:rFonts w:hint="eastAsia" w:cs="黑体"/>
          <w:color w:val="000000"/>
          <w:szCs w:val="28"/>
        </w:rPr>
        <w:t>户型具体设计及标准层优化</w:t>
      </w:r>
      <w:bookmarkEnd w:id="174"/>
      <w:bookmarkEnd w:id="175"/>
      <w:bookmarkEnd w:id="176"/>
      <w:bookmarkEnd w:id="177"/>
      <w:bookmarkEnd w:id="178"/>
      <w:bookmarkEnd w:id="179"/>
    </w:p>
    <w:p>
      <w:pPr>
        <w:spacing w:line="360" w:lineRule="auto"/>
        <w:ind w:firstLine="420" w:firstLineChars="175"/>
        <w:jc w:val="left"/>
        <w:rPr>
          <w:rFonts w:ascii="宋体" w:hAnsi="宋体" w:cs="宋体"/>
          <w:sz w:val="24"/>
        </w:rPr>
      </w:pPr>
      <w:bookmarkStart w:id="180" w:name="_Toc20565"/>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181" w:name="_Toc28772"/>
      <w:bookmarkStart w:id="182" w:name="_Toc23067"/>
      <w:bookmarkStart w:id="183" w:name="_Toc26808"/>
      <w:bookmarkStart w:id="184" w:name="_Toc17032"/>
      <w:bookmarkStart w:id="185" w:name="_Toc16890"/>
      <w:r>
        <w:rPr>
          <w:rFonts w:hint="eastAsia" w:ascii="Times New Roman" w:hAnsi="Times New Roman" w:cs="Times New Roman"/>
          <w:color w:val="000000"/>
          <w:szCs w:val="28"/>
        </w:rPr>
        <w:t>3.2.3</w:t>
      </w:r>
      <w:r>
        <w:rPr>
          <w:rFonts w:hint="eastAsia" w:cs="黑体"/>
          <w:color w:val="000000"/>
          <w:szCs w:val="28"/>
        </w:rPr>
        <w:t>统筹考虑住宅全寿命周期内设计</w:t>
      </w:r>
      <w:bookmarkEnd w:id="180"/>
      <w:bookmarkEnd w:id="181"/>
      <w:bookmarkEnd w:id="182"/>
      <w:bookmarkEnd w:id="183"/>
      <w:bookmarkEnd w:id="184"/>
      <w:bookmarkEnd w:id="185"/>
    </w:p>
    <w:p>
      <w:pPr>
        <w:spacing w:line="360" w:lineRule="auto"/>
        <w:ind w:firstLine="420" w:firstLineChars="175"/>
        <w:jc w:val="left"/>
        <w:rPr>
          <w:rFonts w:ascii="宋体" w:hAnsi="宋体" w:cs="宋体"/>
          <w:sz w:val="24"/>
        </w:rPr>
      </w:pPr>
      <w:r>
        <w:rPr>
          <w:rFonts w:hint="eastAsia" w:ascii="宋体" w:hAnsi="宋体" w:cs="宋体"/>
          <w:sz w:val="24"/>
        </w:rPr>
        <w:t xml:space="preserve">…… </w:t>
      </w:r>
    </w:p>
    <w:p>
      <w:pPr>
        <w:pStyle w:val="3"/>
        <w:spacing w:before="166" w:beforeLines="50" w:after="163" w:line="360" w:lineRule="auto"/>
        <w:jc w:val="left"/>
        <w:rPr>
          <w:rFonts w:cs="黑体"/>
          <w:color w:val="000000"/>
          <w:sz w:val="30"/>
          <w:szCs w:val="30"/>
        </w:rPr>
      </w:pPr>
      <w:bookmarkStart w:id="186" w:name="_Toc6344"/>
      <w:bookmarkStart w:id="187" w:name="_Toc32674"/>
      <w:bookmarkStart w:id="188" w:name="_Toc1756"/>
      <w:bookmarkStart w:id="189" w:name="_Toc15259"/>
      <w:bookmarkStart w:id="190" w:name="_Toc24461"/>
      <w:bookmarkStart w:id="191" w:name="_Toc30224"/>
      <w:r>
        <w:rPr>
          <w:rFonts w:hint="eastAsia" w:ascii="Times New Roman" w:hAnsi="Times New Roman" w:cs="Times New Roman"/>
          <w:color w:val="000000"/>
          <w:sz w:val="30"/>
          <w:szCs w:val="30"/>
        </w:rPr>
        <w:t>3.3</w:t>
      </w:r>
      <w:r>
        <w:rPr>
          <w:rFonts w:hint="eastAsia" w:cs="黑体"/>
          <w:color w:val="000000"/>
          <w:sz w:val="30"/>
          <w:szCs w:val="30"/>
        </w:rPr>
        <w:t>本章小结</w:t>
      </w:r>
      <w:bookmarkEnd w:id="186"/>
      <w:bookmarkEnd w:id="187"/>
      <w:bookmarkEnd w:id="188"/>
      <w:bookmarkEnd w:id="189"/>
      <w:bookmarkEnd w:id="190"/>
      <w:bookmarkEnd w:id="191"/>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本章主要结合广东地区绿色建筑特点，提出广东绿色高层住宅设计应充分考虑当地气候特点，因地制宜，重点应用自然通风、采光、隔热等被动式绿色节能技术。同时从住区优化空间布局、户型具体设计及标准层优化、建筑全寿命周期三个角度详细阐述了住宅建筑的设计策略。</w:t>
      </w:r>
    </w:p>
    <w:p>
      <w:pPr>
        <w:spacing w:line="360" w:lineRule="auto"/>
        <w:ind w:firstLine="420" w:firstLineChars="175"/>
        <w:jc w:val="left"/>
        <w:rPr>
          <w:rFonts w:ascii="宋体" w:hAnsi="宋体" w:cs="宋体"/>
          <w:sz w:val="24"/>
        </w:rPr>
      </w:pPr>
    </w:p>
    <w:p>
      <w:pPr>
        <w:spacing w:line="360" w:lineRule="auto"/>
        <w:ind w:firstLine="420" w:firstLineChars="175"/>
        <w:jc w:val="left"/>
        <w:rPr>
          <w:rFonts w:ascii="宋体" w:hAnsi="宋体" w:cs="宋体"/>
          <w:sz w:val="24"/>
        </w:rPr>
        <w:sectPr>
          <w:pgSz w:w="11906" w:h="16838"/>
          <w:pgMar w:top="1417" w:right="1417" w:bottom="1417" w:left="1417" w:header="851" w:footer="850" w:gutter="0"/>
          <w:cols w:space="0" w:num="1"/>
          <w:titlePg/>
          <w:docGrid w:type="lines" w:linePitch="333" w:charSpace="0"/>
        </w:sectPr>
      </w:pPr>
    </w:p>
    <w:p>
      <w:pPr>
        <w:pStyle w:val="2"/>
        <w:spacing w:before="333" w:beforeLines="100" w:after="333" w:afterLines="100" w:line="360" w:lineRule="auto"/>
        <w:jc w:val="center"/>
        <w:rPr>
          <w:sz w:val="36"/>
          <w:szCs w:val="36"/>
        </w:rPr>
      </w:pPr>
      <w:bookmarkStart w:id="192" w:name="_Toc11349"/>
      <w:bookmarkStart w:id="193" w:name="_Toc3462"/>
      <w:bookmarkStart w:id="194" w:name="_Toc8112"/>
      <w:bookmarkStart w:id="195" w:name="_Toc22870"/>
      <w:bookmarkStart w:id="196" w:name="_Toc11204"/>
      <w:bookmarkStart w:id="197" w:name="_Toc16891"/>
      <w:r>
        <w:rPr>
          <w:rFonts w:hint="eastAsia" w:ascii="黑体" w:hAnsi="黑体" w:eastAsia="黑体" w:cs="黑体"/>
          <w:sz w:val="36"/>
          <w:szCs w:val="36"/>
        </w:rPr>
        <w:t>第四章 基于《绿色建筑评价标准》二星住宅设计实例分析</w:t>
      </w:r>
      <w:bookmarkEnd w:id="192"/>
      <w:bookmarkEnd w:id="193"/>
      <w:bookmarkEnd w:id="194"/>
      <w:bookmarkEnd w:id="195"/>
      <w:bookmarkEnd w:id="196"/>
      <w:bookmarkEnd w:id="197"/>
    </w:p>
    <w:p>
      <w:pPr>
        <w:pStyle w:val="3"/>
        <w:spacing w:before="166" w:beforeLines="50" w:after="163" w:line="360" w:lineRule="auto"/>
        <w:jc w:val="left"/>
        <w:rPr>
          <w:rFonts w:cs="黑体"/>
          <w:color w:val="000000"/>
          <w:sz w:val="30"/>
          <w:szCs w:val="30"/>
        </w:rPr>
      </w:pPr>
      <w:bookmarkStart w:id="198" w:name="_Toc10425"/>
      <w:bookmarkStart w:id="199" w:name="_Toc13335"/>
      <w:bookmarkStart w:id="200" w:name="_Toc1941"/>
      <w:bookmarkStart w:id="201" w:name="_Toc21055"/>
      <w:bookmarkStart w:id="202" w:name="_Toc32365"/>
      <w:bookmarkStart w:id="203" w:name="_Toc5237"/>
      <w:r>
        <w:rPr>
          <w:rFonts w:hint="eastAsia" w:ascii="Times New Roman" w:hAnsi="Times New Roman" w:cs="Times New Roman"/>
          <w:color w:val="000000"/>
          <w:sz w:val="30"/>
          <w:szCs w:val="30"/>
        </w:rPr>
        <w:t>4.1</w:t>
      </w:r>
      <w:r>
        <w:rPr>
          <w:rFonts w:hint="eastAsia" w:cs="黑体"/>
          <w:color w:val="000000"/>
          <w:sz w:val="30"/>
          <w:szCs w:val="30"/>
        </w:rPr>
        <w:t>项目概况</w:t>
      </w:r>
      <w:bookmarkEnd w:id="198"/>
      <w:bookmarkEnd w:id="199"/>
      <w:bookmarkEnd w:id="200"/>
      <w:bookmarkEnd w:id="201"/>
      <w:bookmarkEnd w:id="202"/>
      <w:bookmarkEnd w:id="203"/>
    </w:p>
    <w:p>
      <w:pPr>
        <w:spacing w:line="360" w:lineRule="auto"/>
        <w:ind w:firstLine="420" w:firstLineChars="175"/>
        <w:jc w:val="left"/>
        <w:rPr>
          <w:rFonts w:ascii="宋体" w:hAnsi="宋体" w:cs="宋体"/>
          <w:sz w:val="24"/>
        </w:rPr>
      </w:pPr>
      <w:r>
        <w:rPr>
          <w:rFonts w:hint="eastAsia" w:ascii="宋体" w:hAnsi="宋体" w:cs="宋体"/>
          <w:sz w:val="24"/>
        </w:rPr>
        <w:t>……</w:t>
      </w:r>
    </w:p>
    <w:p>
      <w:pPr>
        <w:spacing w:line="400" w:lineRule="exact"/>
        <w:jc w:val="center"/>
        <w:rPr>
          <w:rFonts w:ascii="宋体" w:hAnsi="宋体" w:cs="宋体"/>
          <w:szCs w:val="21"/>
          <w:lang w:bidi="ar"/>
        </w:rPr>
      </w:pPr>
    </w:p>
    <w:p>
      <w:pPr>
        <w:pStyle w:val="3"/>
        <w:spacing w:before="166" w:beforeLines="50" w:after="163" w:line="360" w:lineRule="auto"/>
        <w:jc w:val="left"/>
        <w:rPr>
          <w:rFonts w:cs="黑体"/>
          <w:color w:val="000000"/>
          <w:sz w:val="30"/>
          <w:szCs w:val="30"/>
        </w:rPr>
      </w:pPr>
      <w:bookmarkStart w:id="204" w:name="_Toc21607"/>
      <w:bookmarkStart w:id="205" w:name="_Toc20882"/>
      <w:bookmarkStart w:id="206" w:name="_Toc8677"/>
      <w:bookmarkStart w:id="207" w:name="_Toc12745"/>
      <w:bookmarkStart w:id="208" w:name="_Toc6939"/>
      <w:bookmarkStart w:id="209" w:name="_Toc11592"/>
      <w:r>
        <w:rPr>
          <w:rFonts w:hint="eastAsia" w:ascii="Times New Roman" w:hAnsi="Times New Roman" w:cs="Times New Roman"/>
          <w:color w:val="000000"/>
          <w:sz w:val="30"/>
          <w:szCs w:val="30"/>
        </w:rPr>
        <w:t>4.2</w:t>
      </w:r>
      <w:r>
        <w:rPr>
          <w:rFonts w:hint="eastAsia" w:cs="黑体"/>
          <w:color w:val="000000"/>
          <w:sz w:val="30"/>
          <w:szCs w:val="30"/>
        </w:rPr>
        <w:t>设计理念</w:t>
      </w:r>
      <w:bookmarkEnd w:id="204"/>
      <w:bookmarkEnd w:id="205"/>
      <w:bookmarkEnd w:id="206"/>
      <w:bookmarkEnd w:id="207"/>
      <w:bookmarkEnd w:id="208"/>
      <w:bookmarkEnd w:id="209"/>
    </w:p>
    <w:p>
      <w:pPr>
        <w:spacing w:line="360" w:lineRule="auto"/>
        <w:ind w:firstLine="420" w:firstLineChars="175"/>
        <w:jc w:val="left"/>
        <w:rPr>
          <w:rFonts w:ascii="宋体" w:hAnsi="宋体" w:cs="宋体"/>
          <w:sz w:val="24"/>
        </w:rPr>
      </w:pPr>
      <w:r>
        <w:rPr>
          <w:rFonts w:hint="eastAsia" w:ascii="宋体" w:hAnsi="宋体" w:cs="宋体"/>
          <w:sz w:val="24"/>
        </w:rPr>
        <w:t>……</w:t>
      </w:r>
    </w:p>
    <w:p>
      <w:pPr>
        <w:pStyle w:val="3"/>
        <w:spacing w:before="166" w:beforeLines="50" w:after="163" w:line="360" w:lineRule="auto"/>
        <w:jc w:val="left"/>
        <w:rPr>
          <w:rFonts w:cs="黑体"/>
          <w:color w:val="000000"/>
          <w:sz w:val="30"/>
          <w:szCs w:val="30"/>
        </w:rPr>
      </w:pPr>
      <w:bookmarkStart w:id="210" w:name="_Toc27204"/>
      <w:bookmarkStart w:id="211" w:name="_Toc26640"/>
      <w:bookmarkStart w:id="212" w:name="_Toc4009"/>
      <w:bookmarkStart w:id="213" w:name="_Toc31681"/>
      <w:bookmarkStart w:id="214" w:name="_Toc31068"/>
      <w:bookmarkStart w:id="215" w:name="_Toc2653"/>
      <w:r>
        <w:rPr>
          <w:rFonts w:hint="eastAsia" w:ascii="Times New Roman" w:hAnsi="Times New Roman" w:cs="Times New Roman"/>
          <w:color w:val="000000"/>
          <w:sz w:val="30"/>
          <w:szCs w:val="30"/>
        </w:rPr>
        <w:t>4.3</w:t>
      </w:r>
      <w:r>
        <w:rPr>
          <w:rFonts w:hint="eastAsia" w:cs="黑体"/>
          <w:color w:val="000000"/>
          <w:sz w:val="30"/>
          <w:szCs w:val="30"/>
        </w:rPr>
        <w:t>设计方法</w:t>
      </w:r>
      <w:bookmarkEnd w:id="210"/>
      <w:bookmarkEnd w:id="211"/>
      <w:bookmarkEnd w:id="212"/>
      <w:bookmarkEnd w:id="213"/>
      <w:bookmarkEnd w:id="214"/>
      <w:bookmarkEnd w:id="215"/>
    </w:p>
    <w:p>
      <w:pPr>
        <w:spacing w:line="360" w:lineRule="auto"/>
        <w:ind w:firstLine="420" w:firstLineChars="175"/>
        <w:jc w:val="left"/>
        <w:rPr>
          <w:rFonts w:ascii="宋体" w:hAnsi="宋体" w:cs="宋体"/>
          <w:sz w:val="24"/>
        </w:rPr>
      </w:pPr>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216" w:name="_Toc21867"/>
      <w:bookmarkStart w:id="217" w:name="_Toc19938"/>
      <w:bookmarkStart w:id="218" w:name="_Toc13633"/>
      <w:bookmarkStart w:id="219" w:name="_Toc13099"/>
      <w:bookmarkStart w:id="220" w:name="_Toc320"/>
      <w:bookmarkStart w:id="221" w:name="_Toc13169"/>
      <w:r>
        <w:rPr>
          <w:rFonts w:hint="eastAsia" w:ascii="Times New Roman" w:hAnsi="Times New Roman" w:cs="Times New Roman"/>
          <w:color w:val="000000"/>
          <w:szCs w:val="28"/>
        </w:rPr>
        <w:t>4.3.1</w:t>
      </w:r>
      <w:r>
        <w:rPr>
          <w:rFonts w:hint="eastAsia" w:cs="黑体"/>
          <w:color w:val="000000"/>
          <w:szCs w:val="28"/>
        </w:rPr>
        <w:t>充分回应环境与气候</w:t>
      </w:r>
      <w:bookmarkEnd w:id="216"/>
      <w:bookmarkEnd w:id="217"/>
      <w:bookmarkEnd w:id="218"/>
      <w:bookmarkEnd w:id="219"/>
      <w:bookmarkEnd w:id="220"/>
      <w:bookmarkEnd w:id="221"/>
    </w:p>
    <w:p>
      <w:pPr>
        <w:spacing w:line="360" w:lineRule="auto"/>
        <w:ind w:firstLine="420" w:firstLineChars="175"/>
        <w:jc w:val="left"/>
        <w:rPr>
          <w:rFonts w:ascii="宋体" w:hAnsi="宋体" w:cs="宋体"/>
          <w:sz w:val="24"/>
        </w:rPr>
      </w:pPr>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222" w:name="_Toc29041"/>
      <w:bookmarkStart w:id="223" w:name="_Toc18063"/>
      <w:bookmarkStart w:id="224" w:name="_Toc4784"/>
      <w:bookmarkStart w:id="225" w:name="_Toc7120"/>
      <w:bookmarkStart w:id="226" w:name="_Toc9954"/>
      <w:bookmarkStart w:id="227" w:name="_Toc22051"/>
      <w:r>
        <w:rPr>
          <w:rFonts w:hint="eastAsia" w:ascii="Times New Roman" w:hAnsi="Times New Roman" w:cs="Times New Roman"/>
          <w:color w:val="000000"/>
          <w:szCs w:val="28"/>
        </w:rPr>
        <w:t>4.3.2</w:t>
      </w:r>
      <w:r>
        <w:rPr>
          <w:rFonts w:hint="eastAsia" w:cs="黑体"/>
          <w:color w:val="000000"/>
          <w:szCs w:val="28"/>
        </w:rPr>
        <w:t>设计手法上回归理性、简约</w:t>
      </w:r>
      <w:bookmarkEnd w:id="222"/>
      <w:bookmarkEnd w:id="223"/>
      <w:bookmarkEnd w:id="224"/>
      <w:bookmarkEnd w:id="225"/>
      <w:bookmarkEnd w:id="226"/>
      <w:bookmarkEnd w:id="227"/>
    </w:p>
    <w:p>
      <w:pPr>
        <w:spacing w:line="360" w:lineRule="auto"/>
        <w:ind w:firstLine="420" w:firstLineChars="175"/>
        <w:jc w:val="left"/>
        <w:rPr>
          <w:rFonts w:ascii="宋体" w:hAnsi="宋体" w:cs="宋体"/>
          <w:sz w:val="24"/>
        </w:rPr>
      </w:pPr>
      <w:r>
        <w:rPr>
          <w:rFonts w:hint="eastAsia" w:ascii="宋体" w:hAnsi="宋体" w:cs="宋体"/>
          <w:sz w:val="24"/>
        </w:rPr>
        <w:t>……</w:t>
      </w:r>
    </w:p>
    <w:p>
      <w:pPr>
        <w:pStyle w:val="3"/>
        <w:spacing w:before="166" w:beforeLines="50" w:after="163" w:line="360" w:lineRule="auto"/>
        <w:jc w:val="left"/>
        <w:rPr>
          <w:rFonts w:cs="黑体"/>
          <w:color w:val="000000"/>
          <w:sz w:val="30"/>
          <w:szCs w:val="30"/>
        </w:rPr>
      </w:pPr>
      <w:bookmarkStart w:id="228" w:name="_Toc28233"/>
      <w:bookmarkStart w:id="229" w:name="_Toc10181"/>
      <w:bookmarkStart w:id="230" w:name="_Toc20937"/>
      <w:bookmarkStart w:id="231" w:name="_Toc14619"/>
      <w:bookmarkStart w:id="232" w:name="_Toc10025"/>
      <w:bookmarkStart w:id="233" w:name="_Toc2908"/>
      <w:r>
        <w:rPr>
          <w:rFonts w:hint="eastAsia" w:ascii="Times New Roman" w:hAnsi="Times New Roman" w:cs="Times New Roman"/>
          <w:color w:val="000000"/>
          <w:sz w:val="30"/>
          <w:szCs w:val="30"/>
        </w:rPr>
        <w:t>4.4</w:t>
      </w:r>
      <w:r>
        <w:rPr>
          <w:rFonts w:hint="eastAsia" w:cs="黑体"/>
          <w:color w:val="000000"/>
          <w:sz w:val="30"/>
          <w:szCs w:val="30"/>
        </w:rPr>
        <w:t>基于《绿色建筑评价标准》设计要点</w:t>
      </w:r>
      <w:bookmarkEnd w:id="228"/>
      <w:bookmarkEnd w:id="229"/>
      <w:bookmarkEnd w:id="230"/>
      <w:bookmarkEnd w:id="231"/>
      <w:bookmarkEnd w:id="232"/>
      <w:bookmarkEnd w:id="233"/>
    </w:p>
    <w:p>
      <w:pPr>
        <w:pStyle w:val="4"/>
        <w:spacing w:before="166" w:beforeLines="50" w:after="166" w:afterLines="50" w:line="360" w:lineRule="auto"/>
        <w:ind w:left="720" w:hanging="720"/>
        <w:rPr>
          <w:rFonts w:cs="黑体"/>
          <w:color w:val="000000"/>
          <w:szCs w:val="28"/>
        </w:rPr>
      </w:pPr>
      <w:bookmarkStart w:id="234" w:name="_Toc6814"/>
      <w:bookmarkStart w:id="235" w:name="_Toc12663"/>
      <w:bookmarkStart w:id="236" w:name="_Toc27538"/>
      <w:bookmarkStart w:id="237" w:name="_Toc19899"/>
      <w:bookmarkStart w:id="238" w:name="_Toc10655"/>
      <w:bookmarkStart w:id="239" w:name="_Toc32116"/>
      <w:r>
        <w:rPr>
          <w:rFonts w:hint="eastAsia" w:ascii="Times New Roman" w:hAnsi="Times New Roman" w:cs="Times New Roman"/>
          <w:color w:val="000000"/>
          <w:szCs w:val="28"/>
        </w:rPr>
        <w:t>4.4.1</w:t>
      </w:r>
      <w:r>
        <w:rPr>
          <w:rFonts w:hint="eastAsia" w:cs="黑体"/>
          <w:color w:val="000000"/>
          <w:szCs w:val="28"/>
        </w:rPr>
        <w:t>节地与室外环境</w:t>
      </w:r>
      <w:bookmarkEnd w:id="234"/>
      <w:bookmarkEnd w:id="235"/>
      <w:bookmarkEnd w:id="236"/>
      <w:bookmarkEnd w:id="237"/>
      <w:bookmarkEnd w:id="238"/>
      <w:bookmarkEnd w:id="239"/>
    </w:p>
    <w:p>
      <w:pPr>
        <w:spacing w:line="360" w:lineRule="auto"/>
        <w:ind w:firstLine="420" w:firstLineChars="175"/>
        <w:jc w:val="left"/>
        <w:rPr>
          <w:rFonts w:ascii="宋体" w:hAnsi="宋体" w:cs="宋体"/>
          <w:sz w:val="24"/>
        </w:rPr>
      </w:pPr>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240" w:name="_Toc13358"/>
      <w:bookmarkStart w:id="241" w:name="_Toc29904"/>
      <w:bookmarkStart w:id="242" w:name="_Toc17481"/>
      <w:bookmarkStart w:id="243" w:name="_Toc13252"/>
      <w:bookmarkStart w:id="244" w:name="_Toc4606"/>
      <w:bookmarkStart w:id="245" w:name="_Toc22040"/>
      <w:r>
        <w:rPr>
          <w:rFonts w:hint="eastAsia" w:ascii="Times New Roman" w:hAnsi="Times New Roman" w:cs="Times New Roman"/>
          <w:color w:val="000000"/>
          <w:szCs w:val="28"/>
        </w:rPr>
        <w:t>4.4.2</w:t>
      </w:r>
      <w:r>
        <w:rPr>
          <w:rFonts w:hint="eastAsia" w:cs="黑体"/>
          <w:color w:val="000000"/>
          <w:szCs w:val="28"/>
        </w:rPr>
        <w:t>节能与能源利用</w:t>
      </w:r>
      <w:bookmarkEnd w:id="240"/>
      <w:bookmarkEnd w:id="241"/>
      <w:bookmarkEnd w:id="242"/>
      <w:bookmarkEnd w:id="243"/>
      <w:bookmarkEnd w:id="244"/>
      <w:bookmarkEnd w:id="245"/>
    </w:p>
    <w:p>
      <w:pPr>
        <w:spacing w:line="360" w:lineRule="auto"/>
        <w:ind w:firstLine="420" w:firstLineChars="175"/>
        <w:jc w:val="left"/>
        <w:rPr>
          <w:rFonts w:ascii="宋体" w:hAnsi="宋体" w:cs="宋体"/>
          <w:sz w:val="24"/>
        </w:rPr>
      </w:pPr>
      <w:r>
        <w:rPr>
          <w:rFonts w:hint="eastAsia" w:ascii="宋体" w:hAnsi="宋体" w:cs="宋体"/>
          <w:sz w:val="24"/>
        </w:rPr>
        <w:t>……</w:t>
      </w:r>
      <w:bookmarkStart w:id="246" w:name="_Toc11428"/>
      <w:bookmarkStart w:id="247" w:name="_Toc1530"/>
    </w:p>
    <w:p>
      <w:pPr>
        <w:pStyle w:val="4"/>
      </w:pPr>
      <w:bookmarkStart w:id="248" w:name="_Toc19264"/>
      <w:bookmarkStart w:id="249" w:name="_Toc7136"/>
      <w:bookmarkStart w:id="250" w:name="_Toc23809"/>
      <w:bookmarkStart w:id="251" w:name="_Toc7941"/>
      <w:r>
        <w:rPr>
          <w:rFonts w:hint="eastAsia" w:ascii="Times New Roman" w:hAnsi="Times New Roman" w:cs="Times New Roman"/>
          <w:color w:val="000000"/>
          <w:szCs w:val="28"/>
        </w:rPr>
        <w:t>4.4.3</w:t>
      </w:r>
      <w:r>
        <w:rPr>
          <w:rFonts w:hint="eastAsia" w:cs="黑体"/>
          <w:color w:val="000000"/>
          <w:szCs w:val="28"/>
        </w:rPr>
        <w:t>节水与水资源利用</w:t>
      </w:r>
      <w:bookmarkEnd w:id="246"/>
      <w:bookmarkEnd w:id="247"/>
      <w:bookmarkEnd w:id="248"/>
      <w:bookmarkEnd w:id="249"/>
      <w:bookmarkEnd w:id="250"/>
      <w:bookmarkEnd w:id="251"/>
    </w:p>
    <w:p>
      <w:pPr>
        <w:spacing w:line="360" w:lineRule="auto"/>
        <w:ind w:firstLine="420" w:firstLineChars="175"/>
        <w:jc w:val="left"/>
        <w:rPr>
          <w:rFonts w:ascii="宋体" w:hAnsi="宋体" w:cs="宋体"/>
          <w:sz w:val="24"/>
        </w:rPr>
      </w:pPr>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252" w:name="_Toc25688"/>
      <w:bookmarkStart w:id="253" w:name="_Toc23677"/>
      <w:bookmarkStart w:id="254" w:name="_Toc27614"/>
      <w:bookmarkStart w:id="255" w:name="_Toc21523"/>
      <w:bookmarkStart w:id="256" w:name="_Toc17178"/>
      <w:bookmarkStart w:id="257" w:name="_Toc14133"/>
      <w:r>
        <w:rPr>
          <w:rFonts w:hint="eastAsia" w:ascii="Times New Roman" w:hAnsi="Times New Roman" w:cs="Times New Roman"/>
          <w:color w:val="000000"/>
          <w:szCs w:val="28"/>
        </w:rPr>
        <w:t>4.4.4</w:t>
      </w:r>
      <w:r>
        <w:rPr>
          <w:rFonts w:hint="eastAsia" w:cs="黑体"/>
          <w:color w:val="000000"/>
          <w:szCs w:val="28"/>
        </w:rPr>
        <w:t>节材与材料资源利用</w:t>
      </w:r>
      <w:bookmarkEnd w:id="252"/>
      <w:bookmarkEnd w:id="253"/>
      <w:bookmarkEnd w:id="254"/>
      <w:bookmarkEnd w:id="255"/>
      <w:bookmarkEnd w:id="256"/>
      <w:bookmarkEnd w:id="257"/>
    </w:p>
    <w:p>
      <w:pPr>
        <w:spacing w:line="360" w:lineRule="auto"/>
        <w:ind w:firstLine="420" w:firstLineChars="175"/>
        <w:jc w:val="left"/>
        <w:rPr>
          <w:rFonts w:ascii="宋体" w:hAnsi="宋体" w:cs="宋体"/>
          <w:sz w:val="24"/>
        </w:rPr>
      </w:pPr>
      <w:r>
        <w:rPr>
          <w:rFonts w:hint="eastAsia" w:ascii="宋体" w:hAnsi="宋体" w:cs="宋体"/>
          <w:sz w:val="24"/>
        </w:rPr>
        <w:t>……</w:t>
      </w:r>
    </w:p>
    <w:p>
      <w:pPr>
        <w:pStyle w:val="4"/>
        <w:spacing w:before="166" w:beforeLines="50" w:after="166" w:afterLines="50" w:line="360" w:lineRule="auto"/>
        <w:ind w:left="720" w:hanging="720"/>
        <w:rPr>
          <w:rFonts w:cs="黑体"/>
          <w:color w:val="000000"/>
          <w:szCs w:val="28"/>
        </w:rPr>
      </w:pPr>
      <w:bookmarkStart w:id="258" w:name="_Toc30045"/>
      <w:bookmarkStart w:id="259" w:name="_Toc6764"/>
      <w:bookmarkStart w:id="260" w:name="_Toc2588"/>
      <w:bookmarkStart w:id="261" w:name="_Toc20640"/>
      <w:bookmarkStart w:id="262" w:name="_Toc356"/>
      <w:bookmarkStart w:id="263" w:name="_Toc25646"/>
      <w:r>
        <w:rPr>
          <w:rFonts w:hint="eastAsia" w:ascii="Times New Roman" w:hAnsi="Times New Roman" w:cs="Times New Roman"/>
          <w:color w:val="000000"/>
          <w:szCs w:val="28"/>
        </w:rPr>
        <w:t>4.4.5</w:t>
      </w:r>
      <w:r>
        <w:rPr>
          <w:rFonts w:hint="eastAsia" w:cs="黑体"/>
          <w:color w:val="000000"/>
          <w:szCs w:val="28"/>
        </w:rPr>
        <w:t>室内环境质量</w:t>
      </w:r>
      <w:bookmarkEnd w:id="258"/>
      <w:bookmarkEnd w:id="259"/>
      <w:bookmarkEnd w:id="260"/>
      <w:bookmarkEnd w:id="261"/>
      <w:bookmarkEnd w:id="262"/>
      <w:bookmarkEnd w:id="263"/>
    </w:p>
    <w:p>
      <w:pPr>
        <w:spacing w:line="360" w:lineRule="auto"/>
        <w:ind w:firstLine="420" w:firstLineChars="175"/>
        <w:jc w:val="left"/>
        <w:rPr>
          <w:rFonts w:ascii="宋体" w:hAnsi="宋体" w:cs="宋体"/>
          <w:sz w:val="24"/>
        </w:rPr>
      </w:pPr>
      <w:r>
        <w:rPr>
          <w:rFonts w:hint="eastAsia" w:ascii="宋体" w:hAnsi="宋体" w:cs="宋体"/>
          <w:sz w:val="24"/>
        </w:rPr>
        <w:t>……</w:t>
      </w:r>
    </w:p>
    <w:p>
      <w:pPr>
        <w:pStyle w:val="3"/>
        <w:spacing w:after="163"/>
        <w:rPr>
          <w:sz w:val="30"/>
          <w:szCs w:val="30"/>
        </w:rPr>
      </w:pPr>
      <w:bookmarkStart w:id="264" w:name="_Toc23637"/>
      <w:bookmarkStart w:id="265" w:name="_Toc5417"/>
      <w:bookmarkStart w:id="266" w:name="_Toc13267"/>
      <w:bookmarkStart w:id="267" w:name="_Toc9119"/>
      <w:r>
        <w:rPr>
          <w:rFonts w:hint="eastAsia" w:ascii="Times New Roman" w:hAnsi="Times New Roman" w:cs="Times New Roman"/>
          <w:bCs/>
          <w:color w:val="000000"/>
          <w:sz w:val="28"/>
          <w:szCs w:val="28"/>
        </w:rPr>
        <w:t>4.5</w:t>
      </w:r>
      <w:r>
        <w:rPr>
          <w:rFonts w:hint="eastAsia"/>
          <w:sz w:val="30"/>
          <w:szCs w:val="30"/>
        </w:rPr>
        <w:t xml:space="preserve"> 本章小结</w:t>
      </w:r>
      <w:bookmarkEnd w:id="264"/>
      <w:bookmarkEnd w:id="265"/>
      <w:bookmarkEnd w:id="266"/>
      <w:bookmarkEnd w:id="267"/>
    </w:p>
    <w:p>
      <w:pPr>
        <w:spacing w:line="360" w:lineRule="auto"/>
        <w:ind w:firstLine="420" w:firstLineChars="175"/>
        <w:jc w:val="left"/>
        <w:rPr>
          <w:rFonts w:ascii="宋体" w:hAnsi="宋体" w:cs="宋体"/>
          <w:sz w:val="24"/>
        </w:rPr>
      </w:pPr>
      <w:r>
        <w:rPr>
          <w:rFonts w:hint="eastAsia" w:ascii="宋体" w:hAnsi="宋体" w:cs="宋体"/>
          <w:sz w:val="24"/>
        </w:rPr>
        <w:t>……</w:t>
      </w:r>
    </w:p>
    <w:p/>
    <w:p>
      <w:pPr>
        <w:spacing w:line="360" w:lineRule="auto"/>
        <w:ind w:firstLine="420" w:firstLineChars="175"/>
        <w:jc w:val="left"/>
        <w:rPr>
          <w:rFonts w:ascii="宋体" w:hAnsi="宋体" w:cs="宋体"/>
          <w:sz w:val="24"/>
        </w:rPr>
      </w:pPr>
    </w:p>
    <w:p>
      <w:pPr>
        <w:spacing w:line="360" w:lineRule="auto"/>
        <w:ind w:firstLine="420" w:firstLineChars="175"/>
        <w:jc w:val="left"/>
        <w:rPr>
          <w:rFonts w:ascii="宋体" w:hAnsi="宋体" w:cs="宋体"/>
          <w:sz w:val="24"/>
        </w:rPr>
        <w:sectPr>
          <w:pgSz w:w="11906" w:h="16838"/>
          <w:pgMar w:top="1417" w:right="1417" w:bottom="1417" w:left="1417" w:header="851" w:footer="850" w:gutter="0"/>
          <w:cols w:space="0" w:num="1"/>
          <w:titlePg/>
          <w:docGrid w:type="lines" w:linePitch="333" w:charSpace="0"/>
        </w:sectPr>
      </w:pPr>
    </w:p>
    <w:p>
      <w:pPr>
        <w:pStyle w:val="2"/>
        <w:spacing w:before="333" w:beforeLines="100" w:after="333" w:afterLines="100" w:line="360" w:lineRule="auto"/>
        <w:jc w:val="center"/>
        <w:rPr>
          <w:sz w:val="36"/>
          <w:szCs w:val="36"/>
        </w:rPr>
      </w:pPr>
      <w:bookmarkStart w:id="268" w:name="_Toc28854"/>
      <w:bookmarkStart w:id="269" w:name="_Toc19958"/>
      <w:bookmarkStart w:id="270" w:name="_Toc17900"/>
      <w:bookmarkStart w:id="271" w:name="_Toc17062"/>
      <w:bookmarkStart w:id="272" w:name="_Toc18139"/>
      <w:r>
        <w:rPr>
          <w:rFonts w:hint="eastAsia" w:ascii="黑体" w:hAnsi="黑体" w:eastAsia="黑体" w:cs="黑体"/>
          <w:sz w:val="36"/>
          <w:szCs w:val="36"/>
        </w:rPr>
        <w:t>结  论</w:t>
      </w:r>
      <w:bookmarkEnd w:id="268"/>
      <w:bookmarkEnd w:id="269"/>
      <w:bookmarkEnd w:id="270"/>
      <w:bookmarkEnd w:id="271"/>
      <w:bookmarkEnd w:id="272"/>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进行绿色生态建筑设计是当今时代的任务和要求，也是现代设计师们在未来工作中面临一项重要课题。本文在分析绿色建筑设计理论知识基础上，通过广州市番禺区长隆</w:t>
      </w:r>
      <w:r>
        <w:rPr>
          <w:rFonts w:ascii="Times New Roman" w:hAnsi="Times New Roman" w:cs="Times New Roman"/>
          <w:sz w:val="24"/>
          <w:lang w:bidi="ar"/>
        </w:rPr>
        <w:t>103</w:t>
      </w:r>
      <w:r>
        <w:rPr>
          <w:rFonts w:hint="eastAsia" w:asciiTheme="minorEastAsia" w:hAnsiTheme="minorEastAsia" w:cstheme="minorEastAsia"/>
          <w:sz w:val="24"/>
          <w:lang w:bidi="ar"/>
        </w:rPr>
        <w:t>地块重点开发项目的绿色设计进行了实证分析，总结如下：</w:t>
      </w:r>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w:t>
      </w:r>
      <w:r>
        <w:rPr>
          <w:rFonts w:ascii="Times New Roman" w:hAnsi="Times New Roman" w:cs="Times New Roman"/>
          <w:sz w:val="24"/>
          <w:lang w:bidi="ar"/>
        </w:rPr>
        <w:t>1</w:t>
      </w:r>
      <w:r>
        <w:rPr>
          <w:rFonts w:hint="eastAsia" w:asciiTheme="minorEastAsia" w:hAnsiTheme="minorEastAsia" w:cstheme="minorEastAsia"/>
          <w:sz w:val="24"/>
          <w:lang w:bidi="ar"/>
        </w:rPr>
        <w:t>）本文选择绿色建筑为研究主题，是响应世界和国家节能减排的号召，在继承相关学者理论研究基础上，结合自身专业实践开进行开展的研究方向，重点将高层住宅设计的难点和弱点转换为设计特色和优势，实现现代高层住宅宜居而节能目标。</w:t>
      </w:r>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w:t>
      </w:r>
    </w:p>
    <w:p>
      <w:pPr>
        <w:adjustRightInd w:val="0"/>
        <w:spacing w:line="360" w:lineRule="auto"/>
        <w:ind w:firstLine="480" w:firstLineChars="200"/>
        <w:jc w:val="left"/>
        <w:rPr>
          <w:rFonts w:asciiTheme="minorEastAsia" w:hAnsiTheme="minorEastAsia" w:cstheme="minorEastAsia"/>
          <w:sz w:val="24"/>
          <w:lang w:bidi="ar"/>
        </w:rPr>
      </w:pPr>
      <w:r>
        <w:rPr>
          <w:rFonts w:hint="eastAsia" w:asciiTheme="minorEastAsia" w:hAnsiTheme="minorEastAsia" w:cstheme="minorEastAsia"/>
          <w:sz w:val="24"/>
          <w:lang w:bidi="ar"/>
        </w:rPr>
        <w:t>本文创新之处是能够结合案例，能够识别并抓住绿色设计关键或核心约束并予以适当处置，通过采用动式设计方法进行绿色建筑项目的设计，确保绿色建筑设计绿色品质。</w:t>
      </w:r>
    </w:p>
    <w:p>
      <w:pPr>
        <w:adjustRightInd w:val="0"/>
        <w:spacing w:line="360" w:lineRule="auto"/>
        <w:ind w:firstLine="480" w:firstLineChars="200"/>
        <w:jc w:val="left"/>
        <w:rPr>
          <w:rFonts w:ascii="宋体" w:hAnsi="宋体" w:cs="宋体"/>
          <w:sz w:val="24"/>
        </w:rPr>
      </w:pPr>
      <w:r>
        <w:rPr>
          <w:rFonts w:hint="eastAsia" w:asciiTheme="minorEastAsia" w:hAnsiTheme="minorEastAsia" w:cstheme="minorEastAsia"/>
          <w:sz w:val="24"/>
          <w:lang w:bidi="ar"/>
        </w:rPr>
        <w:t>由于本人专业的限制和技术专业知识的匮乏，分析角度难免过于局促，本文未能详尽结合广州市番禺区长隆</w:t>
      </w:r>
      <w:r>
        <w:rPr>
          <w:rFonts w:hint="eastAsia" w:ascii="Times New Roman" w:hAnsi="Times New Roman" w:cs="Times New Roman"/>
          <w:sz w:val="24"/>
          <w:lang w:bidi="ar"/>
        </w:rPr>
        <w:t>103</w:t>
      </w:r>
      <w:r>
        <w:rPr>
          <w:rFonts w:hint="eastAsia" w:asciiTheme="minorEastAsia" w:hAnsiTheme="minorEastAsia" w:cstheme="minorEastAsia"/>
          <w:sz w:val="24"/>
          <w:lang w:bidi="ar"/>
        </w:rPr>
        <w:t>地块重点开发项目案例进行细节观点分析，这些不足应成为我将来学习研究的动力和改善方向。</w:t>
      </w:r>
    </w:p>
    <w:p>
      <w:pPr>
        <w:spacing w:line="360" w:lineRule="auto"/>
        <w:ind w:firstLine="420" w:firstLineChars="175"/>
        <w:jc w:val="left"/>
        <w:rPr>
          <w:rFonts w:ascii="宋体" w:hAnsi="宋体" w:cs="宋体"/>
          <w:sz w:val="24"/>
        </w:rPr>
      </w:pPr>
    </w:p>
    <w:p>
      <w:pPr>
        <w:spacing w:line="360" w:lineRule="auto"/>
        <w:ind w:firstLine="420" w:firstLineChars="175"/>
        <w:jc w:val="left"/>
        <w:rPr>
          <w:rFonts w:ascii="宋体" w:hAnsi="宋体" w:cs="宋体"/>
          <w:sz w:val="24"/>
        </w:rPr>
        <w:sectPr>
          <w:pgSz w:w="11906" w:h="16838"/>
          <w:pgMar w:top="1417" w:right="1417" w:bottom="1417" w:left="1417" w:header="851" w:footer="850" w:gutter="0"/>
          <w:cols w:space="0" w:num="1"/>
          <w:titlePg/>
          <w:docGrid w:type="lines" w:linePitch="333" w:charSpace="0"/>
        </w:sectPr>
      </w:pPr>
    </w:p>
    <w:p>
      <w:pPr>
        <w:pStyle w:val="2"/>
        <w:spacing w:before="333" w:beforeLines="100" w:after="333" w:afterLines="100" w:line="360" w:lineRule="auto"/>
        <w:jc w:val="center"/>
        <w:rPr>
          <w:sz w:val="36"/>
          <w:szCs w:val="36"/>
        </w:rPr>
      </w:pPr>
      <w:bookmarkStart w:id="273" w:name="_Toc5109"/>
      <w:bookmarkStart w:id="274" w:name="_Toc26095"/>
      <w:bookmarkStart w:id="275" w:name="_Toc16532"/>
      <w:bookmarkStart w:id="276" w:name="_Toc21722"/>
      <w:bookmarkStart w:id="277" w:name="_Toc3050"/>
      <w:r>
        <w:rPr>
          <w:rFonts w:hint="eastAsia" w:ascii="黑体" w:hAnsi="黑体" w:eastAsia="黑体" w:cs="黑体"/>
          <w:sz w:val="36"/>
          <w:szCs w:val="36"/>
        </w:rPr>
        <w:t>参考文献</w:t>
      </w:r>
      <w:bookmarkEnd w:id="273"/>
      <w:bookmarkEnd w:id="274"/>
      <w:bookmarkEnd w:id="275"/>
      <w:bookmarkEnd w:id="276"/>
      <w:bookmarkEnd w:id="277"/>
    </w:p>
    <w:p>
      <w:pPr>
        <w:numPr>
          <w:ilvl w:val="0"/>
          <w:numId w:val="1"/>
        </w:numPr>
        <w:spacing w:line="360" w:lineRule="auto"/>
        <w:rPr>
          <w:rFonts w:asciiTheme="minorEastAsia" w:hAnsiTheme="minorEastAsia" w:cstheme="minorEastAsia"/>
          <w:color w:val="00B050"/>
          <w:sz w:val="24"/>
        </w:rPr>
      </w:pPr>
      <w:bookmarkStart w:id="278" w:name="_Ref424769155"/>
      <w:r>
        <w:rPr>
          <w:rFonts w:hint="eastAsia" w:asciiTheme="minorEastAsia" w:hAnsiTheme="minorEastAsia" w:cstheme="minorEastAsia"/>
          <w:sz w:val="24"/>
        </w:rPr>
        <w:t>刘国钧，陈绍业，王凤翥，等.图书馆目录[</w:t>
      </w:r>
      <w:r>
        <w:rPr>
          <w:rFonts w:hint="eastAsia" w:ascii="Times New Roman" w:hAnsi="Times New Roman" w:cs="Times New Roman"/>
          <w:sz w:val="24"/>
        </w:rPr>
        <w:t>M</w:t>
      </w:r>
      <w:r>
        <w:rPr>
          <w:rFonts w:hint="eastAsia" w:asciiTheme="minorEastAsia" w:hAnsiTheme="minorEastAsia" w:cstheme="minorEastAsia"/>
          <w:sz w:val="24"/>
        </w:rPr>
        <w:t>].北京：高等教育出版社，</w:t>
      </w:r>
      <w:r>
        <w:rPr>
          <w:rFonts w:hint="eastAsia" w:ascii="Times New Roman" w:hAnsi="Times New Roman" w:cs="Times New Roman"/>
          <w:sz w:val="24"/>
        </w:rPr>
        <w:t>1957</w:t>
      </w:r>
      <w:r>
        <w:rPr>
          <w:rFonts w:hint="eastAsia" w:asciiTheme="minorEastAsia" w:hAnsiTheme="minorEastAsia" w:cstheme="minorEastAsia"/>
          <w:sz w:val="24"/>
        </w:rPr>
        <w:t>：</w:t>
      </w:r>
      <w:r>
        <w:rPr>
          <w:rFonts w:hint="eastAsia" w:ascii="Times New Roman" w:hAnsi="Times New Roman" w:cs="Times New Roman"/>
          <w:sz w:val="24"/>
        </w:rPr>
        <w:t>15</w:t>
      </w:r>
      <w:r>
        <w:rPr>
          <w:rFonts w:hint="eastAsia" w:asciiTheme="minorEastAsia" w:hAnsiTheme="minorEastAsia" w:cstheme="minorEastAsia"/>
          <w:sz w:val="24"/>
        </w:rPr>
        <w:t>-</w:t>
      </w:r>
      <w:r>
        <w:rPr>
          <w:rFonts w:hint="eastAsia" w:ascii="Times New Roman" w:hAnsi="Times New Roman" w:cs="Times New Roman"/>
          <w:sz w:val="24"/>
        </w:rPr>
        <w:t>18</w:t>
      </w:r>
      <w:r>
        <w:rPr>
          <w:rFonts w:hint="eastAsia" w:asciiTheme="minorEastAsia" w:hAnsiTheme="minorEastAsia" w:cstheme="minorEastAsia"/>
          <w:sz w:val="24"/>
        </w:rPr>
        <w:t xml:space="preserve">. </w:t>
      </w:r>
    </w:p>
    <w:p>
      <w:pPr>
        <w:numPr>
          <w:ilvl w:val="0"/>
          <w:numId w:val="1"/>
        </w:numPr>
        <w:spacing w:line="360" w:lineRule="auto"/>
        <w:jc w:val="left"/>
        <w:rPr>
          <w:rFonts w:asciiTheme="minorEastAsia" w:hAnsiTheme="minorEastAsia" w:cstheme="minorEastAsia"/>
          <w:sz w:val="24"/>
        </w:rPr>
      </w:pPr>
      <w:r>
        <w:rPr>
          <w:rFonts w:hint="eastAsia" w:asciiTheme="minorEastAsia" w:hAnsiTheme="minorEastAsia" w:cstheme="minorEastAsia"/>
          <w:sz w:val="24"/>
        </w:rPr>
        <w:t>郝雯，王映辉，宁小娟，等.面向点云的三维物体识别方法综述[</w:t>
      </w:r>
      <w:r>
        <w:rPr>
          <w:rFonts w:ascii="Times New Roman" w:hAnsi="Times New Roman" w:cs="Times New Roman"/>
          <w:sz w:val="24"/>
        </w:rPr>
        <w:t>J</w:t>
      </w:r>
      <w:r>
        <w:rPr>
          <w:rFonts w:hint="eastAsia" w:asciiTheme="minorEastAsia" w:hAnsiTheme="minorEastAsia" w:cstheme="minorEastAsia"/>
          <w:sz w:val="24"/>
        </w:rPr>
        <w:t>].计算机科学</w:t>
      </w:r>
      <w:r>
        <w:rPr>
          <w:rFonts w:hint="eastAsia" w:asciiTheme="minorEastAsia" w:hAnsiTheme="minorEastAsia" w:cstheme="minorEastAsia"/>
          <w:color w:val="00B050"/>
          <w:sz w:val="24"/>
        </w:rPr>
        <w:t>，</w:t>
      </w:r>
      <w:r>
        <w:rPr>
          <w:rFonts w:ascii="Times New Roman" w:hAnsi="Times New Roman" w:cs="Times New Roman"/>
          <w:sz w:val="24"/>
        </w:rPr>
        <w:t>2017</w:t>
      </w:r>
      <w:r>
        <w:rPr>
          <w:rFonts w:hint="eastAsia" w:asciiTheme="minorEastAsia" w:hAnsiTheme="minorEastAsia" w:cstheme="minorEastAsia"/>
          <w:sz w:val="24"/>
        </w:rPr>
        <w:t>，</w:t>
      </w:r>
      <w:r>
        <w:rPr>
          <w:rFonts w:hint="eastAsia" w:ascii="Times New Roman" w:hAnsi="Times New Roman" w:cs="Times New Roman"/>
          <w:sz w:val="24"/>
        </w:rPr>
        <w:t>44</w:t>
      </w:r>
      <w:r>
        <w:rPr>
          <w:rFonts w:hint="eastAsia" w:asciiTheme="minorEastAsia" w:hAnsiTheme="minorEastAsia" w:cstheme="minorEastAsia"/>
          <w:sz w:val="24"/>
        </w:rPr>
        <w:t>(</w:t>
      </w:r>
      <w:r>
        <w:rPr>
          <w:rFonts w:hint="eastAsia" w:ascii="Times New Roman" w:hAnsi="Times New Roman" w:cs="Times New Roman"/>
          <w:sz w:val="24"/>
        </w:rPr>
        <w:t>9</w:t>
      </w:r>
      <w:r>
        <w:rPr>
          <w:rFonts w:hint="eastAsia" w:asciiTheme="minorEastAsia" w:hAnsiTheme="minorEastAsia" w:cstheme="minorEastAsia"/>
          <w:sz w:val="24"/>
        </w:rPr>
        <w:t>)：</w:t>
      </w:r>
      <w:r>
        <w:rPr>
          <w:rFonts w:hint="eastAsia" w:ascii="Times New Roman" w:hAnsi="Times New Roman" w:cs="Times New Roman"/>
          <w:sz w:val="24"/>
        </w:rPr>
        <w:t>11</w:t>
      </w:r>
      <w:r>
        <w:rPr>
          <w:rFonts w:hint="eastAsia" w:asciiTheme="minorEastAsia" w:hAnsiTheme="minorEastAsia" w:cstheme="minorEastAsia"/>
          <w:sz w:val="24"/>
        </w:rPr>
        <w:t>-</w:t>
      </w:r>
      <w:r>
        <w:rPr>
          <w:rFonts w:hint="eastAsia" w:ascii="Times New Roman" w:hAnsi="Times New Roman" w:cs="Times New Roman"/>
          <w:sz w:val="24"/>
        </w:rPr>
        <w:t>16</w:t>
      </w:r>
      <w:r>
        <w:rPr>
          <w:rFonts w:hint="eastAsia" w:asciiTheme="minorEastAsia" w:hAnsiTheme="minorEastAsia" w:cstheme="minorEastAsia"/>
          <w:sz w:val="24"/>
        </w:rPr>
        <w:t>.</w:t>
      </w:r>
    </w:p>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谢希德.创造学习的新思路[</w:t>
      </w:r>
      <w:r>
        <w:rPr>
          <w:rFonts w:hint="eastAsia" w:ascii="Times New Roman" w:hAnsi="Times New Roman" w:cs="Times New Roman"/>
          <w:sz w:val="24"/>
        </w:rPr>
        <w:t>N</w:t>
      </w:r>
      <w:r>
        <w:rPr>
          <w:rFonts w:hint="eastAsia" w:asciiTheme="minorEastAsia" w:hAnsiTheme="minorEastAsia" w:cstheme="minorEastAsia"/>
          <w:sz w:val="24"/>
        </w:rPr>
        <w:t>].人民日报，</w:t>
      </w:r>
      <w:r>
        <w:rPr>
          <w:rFonts w:hint="eastAsia" w:ascii="Times New Roman" w:hAnsi="Times New Roman" w:cs="Times New Roman"/>
          <w:sz w:val="24"/>
        </w:rPr>
        <w:t>1998</w:t>
      </w:r>
      <w:r>
        <w:rPr>
          <w:rFonts w:hint="eastAsia" w:asciiTheme="minorEastAsia" w:hAnsiTheme="minorEastAsia" w:cstheme="minorEastAsia"/>
          <w:sz w:val="24"/>
        </w:rPr>
        <w:t>-</w:t>
      </w:r>
      <w:r>
        <w:rPr>
          <w:rFonts w:hint="eastAsia" w:ascii="Times New Roman" w:hAnsi="Times New Roman" w:cs="Times New Roman"/>
          <w:sz w:val="24"/>
        </w:rPr>
        <w:t>12</w:t>
      </w:r>
      <w:r>
        <w:rPr>
          <w:rFonts w:hint="eastAsia" w:asciiTheme="minorEastAsia" w:hAnsiTheme="minorEastAsia" w:cstheme="minorEastAsia"/>
          <w:sz w:val="24"/>
        </w:rPr>
        <w:t>-</w:t>
      </w:r>
      <w:r>
        <w:rPr>
          <w:rFonts w:hint="eastAsia" w:ascii="Times New Roman" w:hAnsi="Times New Roman" w:cs="Times New Roman"/>
          <w:sz w:val="24"/>
        </w:rPr>
        <w:t>25</w:t>
      </w:r>
      <w:r>
        <w:rPr>
          <w:rFonts w:hint="eastAsia" w:asciiTheme="minorEastAsia" w:hAnsiTheme="minorEastAsia" w:cstheme="minorEastAsia"/>
          <w:sz w:val="24"/>
        </w:rPr>
        <w:t>(</w:t>
      </w:r>
      <w:r>
        <w:rPr>
          <w:rFonts w:hint="eastAsia" w:ascii="Times New Roman" w:hAnsi="Times New Roman" w:cs="Times New Roman"/>
          <w:sz w:val="24"/>
        </w:rPr>
        <w:t>10</w:t>
      </w:r>
      <w:r>
        <w:rPr>
          <w:rFonts w:hint="eastAsia" w:asciiTheme="minorEastAsia" w:hAnsiTheme="minorEastAsia" w:cstheme="minorEastAsia"/>
          <w:sz w:val="24"/>
        </w:rPr>
        <w:t>).</w:t>
      </w:r>
    </w:p>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雷光春.综合湿地管理：综合湿地管理国际研讨会论文集[</w:t>
      </w:r>
      <w:r>
        <w:rPr>
          <w:rFonts w:hint="eastAsia" w:ascii="Times New Roman" w:hAnsi="Times New Roman" w:cs="Times New Roman"/>
          <w:sz w:val="24"/>
        </w:rPr>
        <w:t>C</w:t>
      </w:r>
      <w:r>
        <w:rPr>
          <w:rFonts w:hint="eastAsia" w:asciiTheme="minorEastAsia" w:hAnsiTheme="minorEastAsia" w:cstheme="minorEastAsia"/>
          <w:sz w:val="24"/>
        </w:rPr>
        <w:t>].北京：海洋出版年，</w:t>
      </w:r>
      <w:r>
        <w:rPr>
          <w:rFonts w:hint="eastAsia" w:ascii="Times New Roman" w:hAnsi="Times New Roman" w:cs="Times New Roman"/>
          <w:sz w:val="24"/>
        </w:rPr>
        <w:t>2012</w:t>
      </w:r>
      <w:r>
        <w:rPr>
          <w:rFonts w:hint="eastAsia" w:asciiTheme="minorEastAsia" w:hAnsiTheme="minorEastAsia" w:cstheme="minorEastAsia"/>
          <w:sz w:val="24"/>
        </w:rPr>
        <w:t>.</w:t>
      </w:r>
    </w:p>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姜锡洲.一种温热外敷药制备方案[</w:t>
      </w:r>
      <w:r>
        <w:rPr>
          <w:rFonts w:hint="eastAsia" w:ascii="Times New Roman" w:hAnsi="Times New Roman" w:cs="Times New Roman"/>
          <w:sz w:val="24"/>
        </w:rPr>
        <w:t>P</w:t>
      </w:r>
      <w:r>
        <w:rPr>
          <w:rFonts w:hint="eastAsia" w:asciiTheme="minorEastAsia" w:hAnsiTheme="minorEastAsia" w:cstheme="minorEastAsia"/>
          <w:sz w:val="24"/>
        </w:rPr>
        <w:t>].中国专利：</w:t>
      </w:r>
      <w:r>
        <w:rPr>
          <w:rFonts w:hint="eastAsia" w:ascii="Times New Roman" w:hAnsi="Times New Roman" w:cs="Times New Roman"/>
          <w:sz w:val="24"/>
        </w:rPr>
        <w:t>881056073</w:t>
      </w:r>
      <w:r>
        <w:rPr>
          <w:rFonts w:hint="eastAsia" w:asciiTheme="minorEastAsia" w:hAnsiTheme="minorEastAsia" w:cstheme="minorEastAsia"/>
          <w:sz w:val="24"/>
        </w:rPr>
        <w:t>，</w:t>
      </w:r>
      <w:r>
        <w:rPr>
          <w:rFonts w:hint="eastAsia" w:ascii="Times New Roman" w:hAnsi="Times New Roman" w:cs="Times New Roman"/>
          <w:sz w:val="24"/>
        </w:rPr>
        <w:t>1989</w:t>
      </w:r>
      <w:r>
        <w:rPr>
          <w:rFonts w:hint="eastAsia" w:asciiTheme="minorEastAsia" w:hAnsiTheme="minorEastAsia" w:cstheme="minorEastAsia"/>
          <w:sz w:val="24"/>
        </w:rPr>
        <w:t>-</w:t>
      </w:r>
      <w:r>
        <w:rPr>
          <w:rFonts w:hint="eastAsia" w:ascii="Times New Roman" w:hAnsi="Times New Roman" w:cs="Times New Roman"/>
          <w:sz w:val="24"/>
        </w:rPr>
        <w:t>07</w:t>
      </w:r>
      <w:r>
        <w:rPr>
          <w:rFonts w:hint="eastAsia" w:asciiTheme="minorEastAsia" w:hAnsiTheme="minorEastAsia" w:cstheme="minorEastAsia"/>
          <w:sz w:val="24"/>
        </w:rPr>
        <w:t>-</w:t>
      </w:r>
      <w:r>
        <w:rPr>
          <w:rFonts w:hint="eastAsia" w:ascii="Times New Roman" w:hAnsi="Times New Roman" w:cs="Times New Roman"/>
          <w:sz w:val="24"/>
        </w:rPr>
        <w:t>26</w:t>
      </w:r>
      <w:r>
        <w:rPr>
          <w:rFonts w:hint="eastAsia" w:asciiTheme="minorEastAsia" w:hAnsiTheme="minorEastAsia" w:cstheme="minorEastAsia"/>
          <w:sz w:val="24"/>
        </w:rPr>
        <w:t>.</w:t>
      </w:r>
    </w:p>
    <w:p>
      <w:pPr>
        <w:numPr>
          <w:ilvl w:val="0"/>
          <w:numId w:val="1"/>
        </w:numPr>
        <w:spacing w:line="360" w:lineRule="auto"/>
        <w:rPr>
          <w:rFonts w:asciiTheme="minorEastAsia" w:hAnsiTheme="minorEastAsia" w:cstheme="minorEastAsia"/>
          <w:sz w:val="24"/>
        </w:rPr>
      </w:pPr>
      <w:r>
        <w:rPr>
          <w:rFonts w:hint="eastAsia" w:ascii="Times New Roman" w:hAnsi="Times New Roman" w:cs="Times New Roman"/>
          <w:sz w:val="24"/>
        </w:rPr>
        <w:t>GB</w:t>
      </w:r>
      <w:r>
        <w:rPr>
          <w:rFonts w:hint="eastAsia" w:asciiTheme="minorEastAsia" w:hAnsiTheme="minorEastAsia" w:cstheme="minorEastAsia"/>
          <w:sz w:val="24"/>
        </w:rPr>
        <w:t>/</w:t>
      </w:r>
      <w:r>
        <w:rPr>
          <w:rFonts w:hint="eastAsia" w:ascii="Times New Roman" w:hAnsi="Times New Roman" w:cs="Times New Roman"/>
          <w:sz w:val="24"/>
        </w:rPr>
        <w:t>T</w:t>
      </w:r>
      <w:r>
        <w:rPr>
          <w:rFonts w:hint="eastAsia" w:asciiTheme="minorEastAsia" w:hAnsiTheme="minorEastAsia" w:cstheme="minorEastAsia"/>
          <w:sz w:val="24"/>
        </w:rPr>
        <w:t xml:space="preserve"> </w:t>
      </w:r>
      <w:r>
        <w:rPr>
          <w:rFonts w:hint="eastAsia" w:ascii="Times New Roman" w:hAnsi="Times New Roman" w:cs="Times New Roman"/>
          <w:sz w:val="24"/>
        </w:rPr>
        <w:t>16159</w:t>
      </w:r>
      <w:r>
        <w:rPr>
          <w:rFonts w:hint="eastAsia" w:asciiTheme="minorEastAsia" w:hAnsiTheme="minorEastAsia" w:cstheme="minorEastAsia"/>
          <w:sz w:val="24"/>
        </w:rPr>
        <w:t>-</w:t>
      </w:r>
      <w:r>
        <w:rPr>
          <w:rFonts w:hint="eastAsia" w:ascii="Times New Roman" w:hAnsi="Times New Roman" w:cs="Times New Roman"/>
          <w:sz w:val="24"/>
        </w:rPr>
        <w:t>1996</w:t>
      </w:r>
      <w:r>
        <w:rPr>
          <w:rFonts w:hint="eastAsia" w:asciiTheme="minorEastAsia" w:hAnsiTheme="minorEastAsia" w:cstheme="minorEastAsia"/>
          <w:sz w:val="24"/>
        </w:rPr>
        <w:t>，汉语拼音正词法基本规则[</w:t>
      </w:r>
      <w:r>
        <w:rPr>
          <w:rFonts w:hint="eastAsia" w:ascii="Times New Roman" w:hAnsi="Times New Roman" w:cs="Times New Roman"/>
          <w:sz w:val="24"/>
        </w:rPr>
        <w:t>S</w:t>
      </w:r>
      <w:r>
        <w:rPr>
          <w:rFonts w:hint="eastAsia" w:asciiTheme="minorEastAsia" w:hAnsiTheme="minorEastAsia" w:cstheme="minorEastAsia"/>
          <w:sz w:val="24"/>
        </w:rPr>
        <w:t>].</w:t>
      </w:r>
    </w:p>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冯西桥.核反应堆压力管道和压力容器的</w:t>
      </w:r>
      <w:r>
        <w:rPr>
          <w:rFonts w:hint="eastAsia" w:ascii="Times New Roman" w:hAnsi="Times New Roman" w:cs="Times New Roman"/>
          <w:sz w:val="24"/>
        </w:rPr>
        <w:t>LBB</w:t>
      </w:r>
      <w:r>
        <w:rPr>
          <w:rFonts w:hint="eastAsia" w:asciiTheme="minorEastAsia" w:hAnsiTheme="minorEastAsia" w:cstheme="minorEastAsia"/>
          <w:sz w:val="24"/>
        </w:rPr>
        <w:t>分析[</w:t>
      </w:r>
      <w:r>
        <w:rPr>
          <w:rFonts w:hint="eastAsia" w:ascii="Times New Roman" w:hAnsi="Times New Roman" w:cs="Times New Roman"/>
          <w:sz w:val="24"/>
        </w:rPr>
        <w:t>R</w:t>
      </w:r>
      <w:r>
        <w:rPr>
          <w:rFonts w:hint="eastAsia" w:asciiTheme="minorEastAsia" w:hAnsiTheme="minorEastAsia" w:cstheme="minorEastAsia"/>
          <w:sz w:val="24"/>
        </w:rPr>
        <w:t>].北京：清华大学核能技术设计研究院，</w:t>
      </w:r>
      <w:r>
        <w:rPr>
          <w:rFonts w:hint="eastAsia" w:ascii="Times New Roman" w:hAnsi="Times New Roman" w:cs="Times New Roman"/>
          <w:sz w:val="24"/>
        </w:rPr>
        <w:t>1997</w:t>
      </w:r>
      <w:r>
        <w:rPr>
          <w:rFonts w:hint="eastAsia" w:asciiTheme="minorEastAsia" w:hAnsiTheme="minorEastAsia" w:cstheme="minorEastAsia"/>
          <w:sz w:val="24"/>
        </w:rPr>
        <w:t>.</w:t>
      </w:r>
    </w:p>
    <w:p>
      <w:pPr>
        <w:numPr>
          <w:ilvl w:val="0"/>
          <w:numId w:val="1"/>
        </w:numPr>
        <w:spacing w:line="360" w:lineRule="auto"/>
        <w:ind w:hangingChars="175"/>
        <w:rPr>
          <w:rFonts w:asciiTheme="minorEastAsia" w:hAnsiTheme="minorEastAsia" w:cstheme="minorEastAsia"/>
          <w:sz w:val="24"/>
        </w:rPr>
      </w:pPr>
      <w:r>
        <w:rPr>
          <w:rFonts w:hint="eastAsia" w:asciiTheme="minorEastAsia" w:hAnsiTheme="minorEastAsia" w:cstheme="minorEastAsia"/>
          <w:sz w:val="24"/>
          <w:lang w:val="zh-CN"/>
        </w:rPr>
        <w:t>萧钱.</w:t>
      </w:r>
      <w:r>
        <w:rPr>
          <w:rFonts w:hint="eastAsia" w:asciiTheme="minorEastAsia" w:hAnsiTheme="minorEastAsia" w:cstheme="minorEastAsia"/>
          <w:sz w:val="24"/>
          <w:lang w:val="zh-TW" w:eastAsia="zh-TW"/>
        </w:rPr>
        <w:t>出版业信息化迈入快车道</w:t>
      </w:r>
      <w:r>
        <w:rPr>
          <w:rFonts w:hint="eastAsia" w:asciiTheme="minorEastAsia" w:hAnsiTheme="minorEastAsia" w:cstheme="minorEastAsia"/>
          <w:sz w:val="24"/>
        </w:rPr>
        <w:t>[</w:t>
      </w:r>
      <w:r>
        <w:rPr>
          <w:rFonts w:hint="eastAsia" w:ascii="Times New Roman" w:hAnsi="Times New Roman" w:cs="Times New Roman"/>
          <w:sz w:val="24"/>
        </w:rPr>
        <w:t>EB</w:t>
      </w:r>
      <w:r>
        <w:rPr>
          <w:rFonts w:hint="eastAsia" w:asciiTheme="minorEastAsia" w:hAnsiTheme="minorEastAsia" w:cstheme="minorEastAsia"/>
          <w:sz w:val="24"/>
        </w:rPr>
        <w:t>/</w:t>
      </w:r>
      <w:r>
        <w:rPr>
          <w:rFonts w:hint="eastAsia" w:ascii="Times New Roman" w:hAnsi="Times New Roman" w:cs="Times New Roman"/>
          <w:sz w:val="24"/>
        </w:rPr>
        <w:t>OL</w:t>
      </w:r>
      <w:r>
        <w:rPr>
          <w:rFonts w:hint="eastAsia" w:asciiTheme="minorEastAsia" w:hAnsiTheme="minorEastAsia" w:cstheme="minorEastAsia"/>
          <w:sz w:val="24"/>
        </w:rPr>
        <w:t>].(</w:t>
      </w:r>
      <w:r>
        <w:rPr>
          <w:rFonts w:hint="eastAsia" w:ascii="Times New Roman" w:hAnsi="Times New Roman" w:cs="Times New Roman"/>
          <w:sz w:val="24"/>
        </w:rPr>
        <w:t>2001</w:t>
      </w:r>
      <w:r>
        <w:rPr>
          <w:rFonts w:hint="eastAsia" w:asciiTheme="minorEastAsia" w:hAnsiTheme="minorEastAsia" w:cstheme="minorEastAsia"/>
          <w:sz w:val="24"/>
        </w:rPr>
        <w:t>-</w:t>
      </w:r>
      <w:r>
        <w:rPr>
          <w:rFonts w:hint="eastAsia" w:ascii="Times New Roman" w:hAnsi="Times New Roman" w:cs="Times New Roman"/>
          <w:sz w:val="24"/>
        </w:rPr>
        <w:t>12</w:t>
      </w:r>
      <w:r>
        <w:rPr>
          <w:rFonts w:hint="eastAsia" w:asciiTheme="minorEastAsia" w:hAnsiTheme="minorEastAsia" w:cstheme="minorEastAsia"/>
          <w:sz w:val="24"/>
        </w:rPr>
        <w:t>-</w:t>
      </w:r>
      <w:r>
        <w:rPr>
          <w:rFonts w:hint="eastAsia" w:ascii="Times New Roman" w:hAnsi="Times New Roman" w:cs="Times New Roman"/>
          <w:sz w:val="24"/>
        </w:rPr>
        <w:t>19</w:t>
      </w:r>
      <w:r>
        <w:rPr>
          <w:rFonts w:hint="eastAsia" w:asciiTheme="minorEastAsia" w:hAnsiTheme="minorEastAsia" w:cstheme="minorEastAsia"/>
          <w:sz w:val="24"/>
        </w:rPr>
        <w:t>)[</w:t>
      </w:r>
      <w:r>
        <w:rPr>
          <w:rFonts w:hint="eastAsia" w:ascii="Times New Roman" w:hAnsi="Times New Roman" w:cs="Times New Roman"/>
          <w:sz w:val="24"/>
        </w:rPr>
        <w:t>2002</w:t>
      </w:r>
      <w:r>
        <w:rPr>
          <w:rFonts w:hint="eastAsia" w:asciiTheme="minorEastAsia" w:hAnsiTheme="minorEastAsia" w:cstheme="minorEastAsia"/>
          <w:sz w:val="24"/>
        </w:rPr>
        <w:t>-</w:t>
      </w:r>
      <w:r>
        <w:rPr>
          <w:rFonts w:hint="eastAsia" w:ascii="Times New Roman" w:hAnsi="Times New Roman" w:cs="Times New Roman"/>
          <w:sz w:val="24"/>
        </w:rPr>
        <w:t>04</w:t>
      </w:r>
      <w:r>
        <w:rPr>
          <w:rFonts w:hint="eastAsia" w:asciiTheme="minorEastAsia" w:hAnsiTheme="minorEastAsia" w:cstheme="minorEastAsia"/>
          <w:sz w:val="24"/>
        </w:rPr>
        <w:t>-</w:t>
      </w:r>
      <w:r>
        <w:rPr>
          <w:rFonts w:hint="eastAsia" w:ascii="Times New Roman" w:hAnsi="Times New Roman" w:cs="Times New Roman"/>
          <w:sz w:val="24"/>
        </w:rPr>
        <w:t>15</w:t>
      </w:r>
      <w:r>
        <w:rPr>
          <w:rFonts w:hint="eastAsia" w:asciiTheme="minorEastAsia" w:hAnsiTheme="minorEastAsia" w:cstheme="minorEastAsia"/>
          <w:sz w:val="24"/>
        </w:rPr>
        <w:t>].</w:t>
      </w:r>
      <w:r>
        <w:rPr>
          <w:rFonts w:ascii="Times New Roman" w:hAnsi="Times New Roman" w:cs="Times New Roman"/>
          <w:sz w:val="24"/>
          <w:lang w:bidi="ar"/>
        </w:rPr>
        <w:t xml:space="preserve"> </w:t>
      </w:r>
      <w:r>
        <w:rPr>
          <w:rFonts w:ascii="Times New Roman" w:hAnsi="Times New Roman" w:cs="Times New Roman"/>
          <w:sz w:val="24"/>
        </w:rPr>
        <w:t>http：//</w:t>
      </w:r>
      <w:r>
        <w:fldChar w:fldCharType="begin"/>
      </w:r>
      <w:r>
        <w:instrText xml:space="preserve"> HYPERLINK "http://www.creader" </w:instrText>
      </w:r>
      <w:r>
        <w:fldChar w:fldCharType="separate"/>
      </w:r>
      <w:r>
        <w:rPr>
          <w:rFonts w:ascii="Times New Roman" w:hAnsi="Times New Roman" w:cs="Times New Roman"/>
          <w:sz w:val="24"/>
        </w:rPr>
        <w:t>www.creader</w:t>
      </w:r>
      <w:r>
        <w:rPr>
          <w:rFonts w:ascii="Times New Roman" w:hAnsi="Times New Roman" w:cs="Times New Roman"/>
          <w:sz w:val="24"/>
        </w:rPr>
        <w:fldChar w:fldCharType="end"/>
      </w:r>
      <w:r>
        <w:rPr>
          <w:rFonts w:ascii="Times New Roman" w:hAnsi="Times New Roman" w:cs="Times New Roman"/>
          <w:sz w:val="24"/>
        </w:rPr>
        <w:t>.com/news/20011219/200112190019.html</w:t>
      </w:r>
      <w:r>
        <w:rPr>
          <w:rFonts w:hint="eastAsia" w:asciiTheme="minorEastAsia" w:hAnsiTheme="minorEastAsia" w:cstheme="minorEastAsia"/>
          <w:sz w:val="24"/>
        </w:rPr>
        <w:t>.</w:t>
      </w:r>
    </w:p>
    <w:p>
      <w:pPr>
        <w:numPr>
          <w:ilvl w:val="0"/>
          <w:numId w:val="1"/>
        </w:numPr>
        <w:spacing w:line="360" w:lineRule="auto"/>
        <w:rPr>
          <w:rFonts w:asciiTheme="minorEastAsia" w:hAnsiTheme="minorEastAsia" w:cstheme="minorEastAsia"/>
          <w:sz w:val="24"/>
        </w:rPr>
      </w:pPr>
      <w:r>
        <w:rPr>
          <w:rFonts w:hint="eastAsia" w:ascii="宋体" w:hAnsi="宋体" w:cs="宋体"/>
          <w:sz w:val="24"/>
        </w:rPr>
        <w:t>马洁芳.台湾绿色住宅现状分析及海峡两岸绿色住宅比较研究[</w:t>
      </w:r>
      <w:r>
        <w:rPr>
          <w:rFonts w:hint="eastAsia" w:ascii="Times New Roman" w:hAnsi="Times New Roman" w:cs="Times New Roman"/>
          <w:sz w:val="24"/>
        </w:rPr>
        <w:t>D</w:t>
      </w:r>
      <w:r>
        <w:rPr>
          <w:rFonts w:hint="eastAsia" w:ascii="宋体" w:hAnsi="宋体" w:cs="宋体"/>
          <w:sz w:val="24"/>
        </w:rPr>
        <w:t>].天津：天津大学，</w:t>
      </w:r>
      <w:r>
        <w:rPr>
          <w:rFonts w:hint="eastAsia" w:ascii="Times New Roman" w:hAnsi="Times New Roman" w:cs="Times New Roman"/>
          <w:sz w:val="24"/>
        </w:rPr>
        <w:t>2014</w:t>
      </w:r>
      <w:r>
        <w:rPr>
          <w:rFonts w:hint="eastAsia" w:ascii="宋体" w:hAnsi="宋体" w:cs="宋体"/>
          <w:sz w:val="24"/>
        </w:rPr>
        <w:t>.</w:t>
      </w:r>
    </w:p>
    <w:bookmarkEnd w:id="278"/>
    <w:p>
      <w:pPr>
        <w:spacing w:line="360" w:lineRule="auto"/>
        <w:rPr>
          <w:rFonts w:asciiTheme="minorEastAsia" w:hAnsiTheme="minorEastAsia" w:cstheme="minorEastAsia"/>
          <w:color w:val="00B050"/>
          <w:sz w:val="24"/>
        </w:rPr>
      </w:pPr>
      <w:r>
        <w:rPr>
          <w:rFonts w:hint="eastAsia" w:asciiTheme="minorEastAsia" w:hAnsiTheme="minorEastAsia" w:cstheme="minorEastAsia"/>
          <w:color w:val="00B050"/>
          <w:sz w:val="24"/>
        </w:rPr>
        <w:t xml:space="preserve">                                           </w:t>
      </w:r>
      <w:r>
        <w:rPr>
          <w:rFonts w:hint="eastAsia" w:asciiTheme="minorEastAsia" w:hAnsiTheme="minorEastAsia" w:cstheme="minorEastAsia"/>
          <w:sz w:val="24"/>
        </w:rPr>
        <w:t xml:space="preserve">                                                                </w:t>
      </w:r>
    </w:p>
    <w:p>
      <w:pPr>
        <w:spacing w:line="360" w:lineRule="auto"/>
        <w:ind w:left="480" w:hanging="480" w:hangingChars="200"/>
        <w:rPr>
          <w:rFonts w:asciiTheme="minorEastAsia" w:hAnsiTheme="minorEastAsia" w:cstheme="minorEastAsia"/>
          <w:color w:val="00B050"/>
          <w:sz w:val="24"/>
        </w:rPr>
      </w:pPr>
      <w:bookmarkStart w:id="279" w:name="_Ref424769592"/>
    </w:p>
    <w:bookmarkEnd w:id="279"/>
    <w:p/>
    <w:p/>
    <w:p>
      <w:pPr>
        <w:pStyle w:val="2"/>
        <w:spacing w:before="333" w:beforeLines="100" w:after="333" w:afterLines="100" w:line="360" w:lineRule="auto"/>
        <w:jc w:val="center"/>
        <w:rPr>
          <w:sz w:val="36"/>
          <w:szCs w:val="36"/>
        </w:rPr>
        <w:sectPr>
          <w:headerReference r:id="rId13" w:type="default"/>
          <w:footerReference r:id="rId14" w:type="default"/>
          <w:pgSz w:w="11906" w:h="16838"/>
          <w:pgMar w:top="1417" w:right="1417" w:bottom="1417" w:left="1417" w:header="851" w:footer="850" w:gutter="0"/>
          <w:cols w:space="0" w:num="1"/>
          <w:titlePg/>
          <w:docGrid w:type="lines" w:linePitch="333" w:charSpace="0"/>
        </w:sectPr>
      </w:pPr>
      <w:bookmarkStart w:id="280" w:name="_Toc3933"/>
      <w:bookmarkStart w:id="281" w:name="_Toc5647"/>
      <w:bookmarkStart w:id="282" w:name="_Toc2787"/>
      <w:bookmarkStart w:id="283" w:name="_Toc1552"/>
    </w:p>
    <w:p>
      <w:pPr>
        <w:pStyle w:val="2"/>
        <w:spacing w:before="240" w:beforeLines="100" w:after="240" w:afterLines="100" w:line="360" w:lineRule="auto"/>
        <w:jc w:val="center"/>
        <w:rPr>
          <w:rFonts w:ascii="黑体" w:hAnsi="黑体" w:eastAsia="黑体" w:cs="黑体"/>
          <w:sz w:val="36"/>
          <w:szCs w:val="36"/>
        </w:rPr>
      </w:pPr>
      <w:bookmarkStart w:id="284" w:name="_Toc7325"/>
      <w:r>
        <w:rPr>
          <w:rFonts w:hint="eastAsia" w:ascii="黑体" w:hAnsi="黑体" w:eastAsia="黑体" w:cs="黑体"/>
          <w:sz w:val="36"/>
          <w:szCs w:val="36"/>
        </w:rPr>
        <w:t>致  谢</w:t>
      </w:r>
      <w:bookmarkEnd w:id="280"/>
      <w:bookmarkEnd w:id="281"/>
      <w:bookmarkEnd w:id="282"/>
      <w:bookmarkEnd w:id="283"/>
      <w:bookmarkEnd w:id="284"/>
    </w:p>
    <w:p>
      <w:pPr>
        <w:spacing w:line="360" w:lineRule="auto"/>
        <w:ind w:firstLine="480" w:firstLineChars="200"/>
        <w:jc w:val="left"/>
        <w:rPr>
          <w:rFonts w:ascii="宋体" w:hAnsi="宋体" w:cs="宋体"/>
          <w:color w:val="000000"/>
          <w:sz w:val="24"/>
        </w:rPr>
      </w:pPr>
      <w:bookmarkStart w:id="285" w:name="_GoBack"/>
      <w:bookmarkEnd w:id="285"/>
      <w:r>
        <w:rPr>
          <w:rFonts w:hint="eastAsia" w:asciiTheme="minorEastAsia" w:hAnsiTheme="minorEastAsia" w:cstheme="minorEastAsia"/>
          <w:sz w:val="24"/>
          <w:lang w:bidi="ar"/>
        </w:rPr>
        <w:t>在</w:t>
      </w:r>
      <w:r>
        <w:fldChar w:fldCharType="begin"/>
      </w:r>
      <w:r>
        <w:instrText xml:space="preserve"> HYPERLINK "http://www.so.com/s?q=%E8%AE%BA%E6%96%87&amp;ie=utf-8&amp;src=internal_wenda_recommend_textn" \t "_blank" </w:instrText>
      </w:r>
      <w:r>
        <w:fldChar w:fldCharType="separate"/>
      </w:r>
      <w:r>
        <w:rPr>
          <w:rFonts w:hint="eastAsia" w:asciiTheme="minorEastAsia" w:hAnsiTheme="minorEastAsia" w:cstheme="minorEastAsia"/>
          <w:sz w:val="24"/>
          <w:lang w:bidi="ar"/>
        </w:rPr>
        <w:t>论文</w:t>
      </w:r>
      <w:r>
        <w:rPr>
          <w:rFonts w:hint="eastAsia" w:asciiTheme="minorEastAsia" w:hAnsiTheme="minorEastAsia" w:cstheme="minorEastAsia"/>
          <w:sz w:val="24"/>
          <w:lang w:bidi="ar"/>
        </w:rPr>
        <w:fldChar w:fldCharType="end"/>
      </w:r>
      <w:r>
        <w:rPr>
          <w:rFonts w:hint="eastAsia" w:asciiTheme="minorEastAsia" w:hAnsiTheme="minorEastAsia" w:cstheme="minorEastAsia"/>
          <w:sz w:val="24"/>
          <w:lang w:bidi="ar"/>
        </w:rPr>
        <w:t>完成之际，我要特别感谢我的指导老师王小强老师的热情关怀和悉心指导。在我撰写论文的过程中王小强老师倾注了大量的心血和汗水，无论是在论文的</w:t>
      </w:r>
      <w:r>
        <w:fldChar w:fldCharType="begin"/>
      </w:r>
      <w:r>
        <w:instrText xml:space="preserve"> HYPERLINK "http://www.so.com/s?q=%E9%80%89%E9%A2%98&amp;ie=utf-8&amp;src=internal_wenda_recommend_textn" \t "_blank" </w:instrText>
      </w:r>
      <w:r>
        <w:fldChar w:fldCharType="separate"/>
      </w:r>
      <w:r>
        <w:rPr>
          <w:rFonts w:hint="eastAsia" w:asciiTheme="minorEastAsia" w:hAnsiTheme="minorEastAsia" w:cstheme="minorEastAsia"/>
          <w:sz w:val="24"/>
          <w:lang w:bidi="ar"/>
        </w:rPr>
        <w:t>选题</w:t>
      </w:r>
      <w:r>
        <w:rPr>
          <w:rFonts w:hint="eastAsia" w:asciiTheme="minorEastAsia" w:hAnsiTheme="minorEastAsia" w:cstheme="minorEastAsia"/>
          <w:sz w:val="24"/>
          <w:lang w:bidi="ar"/>
        </w:rPr>
        <w:fldChar w:fldCharType="end"/>
      </w:r>
      <w:r>
        <w:rPr>
          <w:rFonts w:hint="eastAsia" w:asciiTheme="minorEastAsia" w:hAnsiTheme="minorEastAsia" w:cstheme="minorEastAsia"/>
          <w:sz w:val="24"/>
          <w:lang w:bidi="ar"/>
        </w:rPr>
        <w:t>、构思和</w:t>
      </w:r>
      <w:r>
        <w:fldChar w:fldCharType="begin"/>
      </w:r>
      <w:r>
        <w:instrText xml:space="preserve"> HYPERLINK "http://www.so.com/s?q=%E8%B5%84%E6%96%99&amp;ie=utf-8&amp;src=internal_wenda_recommend_textn" \t "_blank" </w:instrText>
      </w:r>
      <w:r>
        <w:fldChar w:fldCharType="separate"/>
      </w:r>
      <w:r>
        <w:rPr>
          <w:rFonts w:hint="eastAsia" w:asciiTheme="minorEastAsia" w:hAnsiTheme="minorEastAsia" w:cstheme="minorEastAsia"/>
          <w:sz w:val="24"/>
          <w:lang w:bidi="ar"/>
        </w:rPr>
        <w:t>资料</w:t>
      </w:r>
      <w:r>
        <w:rPr>
          <w:rFonts w:hint="eastAsia" w:asciiTheme="minorEastAsia" w:hAnsiTheme="minorEastAsia" w:cstheme="minorEastAsia"/>
          <w:sz w:val="24"/>
          <w:lang w:bidi="ar"/>
        </w:rPr>
        <w:fldChar w:fldCharType="end"/>
      </w:r>
      <w:r>
        <w:rPr>
          <w:rFonts w:hint="eastAsia" w:asciiTheme="minorEastAsia" w:hAnsiTheme="minorEastAsia" w:cstheme="minorEastAsia"/>
          <w:sz w:val="24"/>
          <w:lang w:bidi="ar"/>
        </w:rPr>
        <w:t>的收集方面，还是在论文的</w:t>
      </w:r>
      <w:r>
        <w:fldChar w:fldCharType="begin"/>
      </w:r>
      <w:r>
        <w:instrText xml:space="preserve"> HYPERLINK "http://www.so.com/s?q=%E7%A0%94%E7%A9%B6%E6%96%B9%E6%B3%95&amp;ie=utf-8&amp;src=internal_wenda_recommend_textn" \t "_blank" </w:instrText>
      </w:r>
      <w:r>
        <w:fldChar w:fldCharType="separate"/>
      </w:r>
      <w:r>
        <w:rPr>
          <w:rFonts w:hint="eastAsia" w:asciiTheme="minorEastAsia" w:hAnsiTheme="minorEastAsia" w:cstheme="minorEastAsia"/>
          <w:sz w:val="24"/>
          <w:lang w:bidi="ar"/>
        </w:rPr>
        <w:t>研究方法</w:t>
      </w:r>
      <w:r>
        <w:rPr>
          <w:rFonts w:hint="eastAsia" w:asciiTheme="minorEastAsia" w:hAnsiTheme="minorEastAsia" w:cstheme="minorEastAsia"/>
          <w:sz w:val="24"/>
          <w:lang w:bidi="ar"/>
        </w:rPr>
        <w:fldChar w:fldCharType="end"/>
      </w:r>
      <w:r>
        <w:rPr>
          <w:rFonts w:hint="eastAsia" w:asciiTheme="minorEastAsia" w:hAnsiTheme="minorEastAsia" w:cstheme="minorEastAsia"/>
          <w:sz w:val="24"/>
          <w:lang w:bidi="ar"/>
        </w:rPr>
        <w:t>以及成文定稿方面，我都得到了王小强老师的悉心细致的教诲和无私的帮助，特别是他广博的</w:t>
      </w:r>
      <w:r>
        <w:fldChar w:fldCharType="begin"/>
      </w:r>
      <w:r>
        <w:instrText xml:space="preserve"> HYPERLINK "http://www.so.com/s?q=%E5%AD%A6%E8%AF%86&amp;ie=utf-8&amp;src=internal_wenda_recommend_textn" \t "_blank" </w:instrText>
      </w:r>
      <w:r>
        <w:fldChar w:fldCharType="separate"/>
      </w:r>
      <w:r>
        <w:rPr>
          <w:rFonts w:hint="eastAsia" w:asciiTheme="minorEastAsia" w:hAnsiTheme="minorEastAsia" w:cstheme="minorEastAsia"/>
          <w:sz w:val="24"/>
          <w:lang w:bidi="ar"/>
        </w:rPr>
        <w:t>学识</w:t>
      </w:r>
      <w:r>
        <w:rPr>
          <w:rFonts w:hint="eastAsia" w:asciiTheme="minorEastAsia" w:hAnsiTheme="minorEastAsia" w:cstheme="minorEastAsia"/>
          <w:sz w:val="24"/>
          <w:lang w:bidi="ar"/>
        </w:rPr>
        <w:fldChar w:fldCharType="end"/>
      </w:r>
      <w:r>
        <w:rPr>
          <w:rFonts w:hint="eastAsia" w:asciiTheme="minorEastAsia" w:hAnsiTheme="minorEastAsia" w:cstheme="minorEastAsia"/>
          <w:sz w:val="24"/>
          <w:lang w:bidi="ar"/>
        </w:rPr>
        <w:t>、深厚的</w:t>
      </w:r>
      <w:r>
        <w:fldChar w:fldCharType="begin"/>
      </w:r>
      <w:r>
        <w:instrText xml:space="preserve"> HYPERLINK "http://www.so.com/s?q=%E5%AD%A6%E6%9C%AF&amp;ie=utf-8&amp;src=internal_wenda_recommend_textn" \t "_blank" </w:instrText>
      </w:r>
      <w:r>
        <w:fldChar w:fldCharType="separate"/>
      </w:r>
      <w:r>
        <w:rPr>
          <w:rFonts w:hint="eastAsia" w:asciiTheme="minorEastAsia" w:hAnsiTheme="minorEastAsia" w:cstheme="minorEastAsia"/>
          <w:sz w:val="24"/>
          <w:lang w:bidi="ar"/>
        </w:rPr>
        <w:t>学术</w:t>
      </w:r>
      <w:r>
        <w:rPr>
          <w:rFonts w:hint="eastAsia" w:asciiTheme="minorEastAsia" w:hAnsiTheme="minorEastAsia" w:cstheme="minorEastAsia"/>
          <w:sz w:val="24"/>
          <w:lang w:bidi="ar"/>
        </w:rPr>
        <w:fldChar w:fldCharType="end"/>
      </w:r>
      <w:r>
        <w:rPr>
          <w:rFonts w:hint="eastAsia" w:asciiTheme="minorEastAsia" w:hAnsiTheme="minorEastAsia" w:cstheme="minorEastAsia"/>
          <w:sz w:val="24"/>
          <w:lang w:bidi="ar"/>
        </w:rPr>
        <w:t>素养、严谨的治学精神和一丝不苟的工作作风使我终生受益，在此表示真诚地感谢</w:t>
      </w:r>
      <w:r>
        <w:rPr>
          <w:rFonts w:hint="eastAsia" w:ascii="宋体" w:hAnsi="宋体" w:cs="宋体"/>
          <w:color w:val="000000"/>
          <w:sz w:val="24"/>
        </w:rPr>
        <w:t>。</w:t>
      </w:r>
    </w:p>
    <w:p>
      <w:pPr>
        <w:pStyle w:val="40"/>
        <w:widowControl/>
        <w:adjustRightInd w:val="0"/>
        <w:spacing w:line="400" w:lineRule="exact"/>
        <w:ind w:firstLine="0" w:firstLineChars="0"/>
        <w:jc w:val="center"/>
        <w:rPr>
          <w:rFonts w:ascii="宋体" w:hAnsi="宋体"/>
        </w:rPr>
      </w:pPr>
    </w:p>
    <w:p>
      <w:pPr>
        <w:pStyle w:val="40"/>
        <w:widowControl/>
        <w:adjustRightInd w:val="0"/>
        <w:spacing w:line="400" w:lineRule="exact"/>
        <w:ind w:firstLine="0" w:firstLineChars="0"/>
        <w:jc w:val="center"/>
        <w:rPr>
          <w:rFonts w:ascii="宋体" w:hAnsi="宋体"/>
        </w:rPr>
      </w:pPr>
    </w:p>
    <w:p>
      <w:pPr>
        <w:pStyle w:val="40"/>
        <w:widowControl/>
        <w:adjustRightInd w:val="0"/>
        <w:spacing w:line="400" w:lineRule="exact"/>
        <w:ind w:firstLine="0" w:firstLineChars="0"/>
        <w:jc w:val="center"/>
        <w:rPr>
          <w:rFonts w:ascii="宋体" w:hAnsi="宋体"/>
        </w:rPr>
      </w:pPr>
    </w:p>
    <w:p>
      <w:pPr>
        <w:pStyle w:val="5"/>
      </w:pPr>
    </w:p>
    <w:p>
      <w:pPr>
        <w:pStyle w:val="40"/>
        <w:widowControl/>
        <w:adjustRightInd w:val="0"/>
        <w:spacing w:line="400" w:lineRule="exact"/>
        <w:ind w:firstLine="0" w:firstLineChars="0"/>
        <w:jc w:val="center"/>
        <w:rPr>
          <w:rFonts w:ascii="宋体" w:hAnsi="宋体"/>
        </w:rPr>
      </w:pPr>
    </w:p>
    <w:p>
      <w:pPr>
        <w:jc w:val="left"/>
        <w:rPr>
          <w:rFonts w:asciiTheme="minorEastAsia" w:hAnsiTheme="minorEastAsia"/>
          <w:sz w:val="24"/>
        </w:rPr>
      </w:pPr>
    </w:p>
    <w:sectPr>
      <w:pgSz w:w="11911" w:h="16838"/>
      <w:pgMar w:top="1417" w:right="1417" w:bottom="1417" w:left="1417" w:header="720" w:footer="124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1"/>
      </w:rPr>
    </w:pPr>
    <w:r>
      <w:rPr>
        <w:rFonts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IV</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IV</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jc w:val="center"/>
                          </w:pPr>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M+CG+jUAQAAtAMAAA4AAAAAAAAAAQAgAAAAHgEA&#10;AGRycy9lMm9Eb2MueG1sUEsFBgAAAAAGAAYAWQEAAGQFA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90432"/>
    <w:multiLevelType w:val="multilevel"/>
    <w:tmpl w:val="4DB90432"/>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10"/>
  <w:drawingGridVerticalSpacing w:val="-794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NzhjNGZlMzY4ZjlhMzIxZGRkMzYzMzI2ZWE1ZGYifQ=="/>
  </w:docVars>
  <w:rsids>
    <w:rsidRoot w:val="00431735"/>
    <w:rsid w:val="00041700"/>
    <w:rsid w:val="0006063F"/>
    <w:rsid w:val="00071AE4"/>
    <w:rsid w:val="000C5A5C"/>
    <w:rsid w:val="001426F1"/>
    <w:rsid w:val="001D2877"/>
    <w:rsid w:val="0022520E"/>
    <w:rsid w:val="0023126C"/>
    <w:rsid w:val="002405FC"/>
    <w:rsid w:val="0024555E"/>
    <w:rsid w:val="00247229"/>
    <w:rsid w:val="00263C9C"/>
    <w:rsid w:val="00293C00"/>
    <w:rsid w:val="002A222F"/>
    <w:rsid w:val="00323596"/>
    <w:rsid w:val="00332817"/>
    <w:rsid w:val="00344F26"/>
    <w:rsid w:val="003C5806"/>
    <w:rsid w:val="003F0C04"/>
    <w:rsid w:val="004042CA"/>
    <w:rsid w:val="004221C0"/>
    <w:rsid w:val="00431735"/>
    <w:rsid w:val="00480473"/>
    <w:rsid w:val="004A1CC9"/>
    <w:rsid w:val="00523D0B"/>
    <w:rsid w:val="0057588F"/>
    <w:rsid w:val="00592941"/>
    <w:rsid w:val="005E292B"/>
    <w:rsid w:val="006008C7"/>
    <w:rsid w:val="00623ED3"/>
    <w:rsid w:val="00631D9C"/>
    <w:rsid w:val="0064700F"/>
    <w:rsid w:val="00652374"/>
    <w:rsid w:val="00670688"/>
    <w:rsid w:val="006B7A47"/>
    <w:rsid w:val="006C6044"/>
    <w:rsid w:val="006D232D"/>
    <w:rsid w:val="006F1047"/>
    <w:rsid w:val="007A3480"/>
    <w:rsid w:val="008357B1"/>
    <w:rsid w:val="00855D7A"/>
    <w:rsid w:val="008658EC"/>
    <w:rsid w:val="00882C2D"/>
    <w:rsid w:val="00892936"/>
    <w:rsid w:val="008936E8"/>
    <w:rsid w:val="0089581F"/>
    <w:rsid w:val="00896590"/>
    <w:rsid w:val="00896A75"/>
    <w:rsid w:val="008B467E"/>
    <w:rsid w:val="008D283E"/>
    <w:rsid w:val="008E2DD1"/>
    <w:rsid w:val="008E480F"/>
    <w:rsid w:val="00910D11"/>
    <w:rsid w:val="009740B3"/>
    <w:rsid w:val="009C192E"/>
    <w:rsid w:val="009F7880"/>
    <w:rsid w:val="00A43BF1"/>
    <w:rsid w:val="00A91AC5"/>
    <w:rsid w:val="00A9350C"/>
    <w:rsid w:val="00AF2138"/>
    <w:rsid w:val="00B13509"/>
    <w:rsid w:val="00B47019"/>
    <w:rsid w:val="00BB2B2B"/>
    <w:rsid w:val="00BC7279"/>
    <w:rsid w:val="00BE5555"/>
    <w:rsid w:val="00CA6955"/>
    <w:rsid w:val="00CA6B4A"/>
    <w:rsid w:val="00CE0915"/>
    <w:rsid w:val="00CF2DDF"/>
    <w:rsid w:val="00D16C9B"/>
    <w:rsid w:val="00DE50C3"/>
    <w:rsid w:val="00E4793F"/>
    <w:rsid w:val="00E5047D"/>
    <w:rsid w:val="00EB4CF7"/>
    <w:rsid w:val="00EF3C10"/>
    <w:rsid w:val="00F44881"/>
    <w:rsid w:val="00FD15A5"/>
    <w:rsid w:val="01840A39"/>
    <w:rsid w:val="026554A9"/>
    <w:rsid w:val="02CB5D8C"/>
    <w:rsid w:val="02DE7C7D"/>
    <w:rsid w:val="03591E40"/>
    <w:rsid w:val="043D1F82"/>
    <w:rsid w:val="064029FC"/>
    <w:rsid w:val="06F22D60"/>
    <w:rsid w:val="070C694A"/>
    <w:rsid w:val="07B2303D"/>
    <w:rsid w:val="07FC4B3E"/>
    <w:rsid w:val="08C8575F"/>
    <w:rsid w:val="0A7C1B9D"/>
    <w:rsid w:val="0B2D243D"/>
    <w:rsid w:val="0C281A33"/>
    <w:rsid w:val="0C4E4E56"/>
    <w:rsid w:val="0C92520F"/>
    <w:rsid w:val="0CB35CD6"/>
    <w:rsid w:val="0D2404B6"/>
    <w:rsid w:val="0D887041"/>
    <w:rsid w:val="0D974726"/>
    <w:rsid w:val="0E67110A"/>
    <w:rsid w:val="0F330841"/>
    <w:rsid w:val="10147DF9"/>
    <w:rsid w:val="10281F97"/>
    <w:rsid w:val="10C4615F"/>
    <w:rsid w:val="11CC5D5E"/>
    <w:rsid w:val="121D7DDC"/>
    <w:rsid w:val="13DA1C1D"/>
    <w:rsid w:val="14116861"/>
    <w:rsid w:val="14370794"/>
    <w:rsid w:val="14774FC3"/>
    <w:rsid w:val="162154CB"/>
    <w:rsid w:val="16E341D5"/>
    <w:rsid w:val="17265C3F"/>
    <w:rsid w:val="18A57E56"/>
    <w:rsid w:val="1B3B1964"/>
    <w:rsid w:val="1B464895"/>
    <w:rsid w:val="1BF3410F"/>
    <w:rsid w:val="1D64247C"/>
    <w:rsid w:val="1D785F30"/>
    <w:rsid w:val="1D9B4253"/>
    <w:rsid w:val="1E8E6C72"/>
    <w:rsid w:val="1E9A0CC3"/>
    <w:rsid w:val="1EFB13A9"/>
    <w:rsid w:val="1FFC6D6F"/>
    <w:rsid w:val="206E553A"/>
    <w:rsid w:val="20C932CD"/>
    <w:rsid w:val="216F133C"/>
    <w:rsid w:val="219C54B1"/>
    <w:rsid w:val="21E068AB"/>
    <w:rsid w:val="222A7924"/>
    <w:rsid w:val="22945F42"/>
    <w:rsid w:val="22E03FB8"/>
    <w:rsid w:val="23BD5235"/>
    <w:rsid w:val="24672BF0"/>
    <w:rsid w:val="24BC32A3"/>
    <w:rsid w:val="25082053"/>
    <w:rsid w:val="25AA6733"/>
    <w:rsid w:val="274F1C25"/>
    <w:rsid w:val="27AC7F0F"/>
    <w:rsid w:val="28B109D5"/>
    <w:rsid w:val="29C45C8D"/>
    <w:rsid w:val="29FB069A"/>
    <w:rsid w:val="2C4C2E8A"/>
    <w:rsid w:val="2D087D89"/>
    <w:rsid w:val="2E6D64F7"/>
    <w:rsid w:val="2E832FBA"/>
    <w:rsid w:val="2F9E6829"/>
    <w:rsid w:val="305F2CE5"/>
    <w:rsid w:val="309D7EF0"/>
    <w:rsid w:val="30F95A03"/>
    <w:rsid w:val="3173278C"/>
    <w:rsid w:val="317D0E94"/>
    <w:rsid w:val="33915994"/>
    <w:rsid w:val="341C69C3"/>
    <w:rsid w:val="34835452"/>
    <w:rsid w:val="352E7DA7"/>
    <w:rsid w:val="35984358"/>
    <w:rsid w:val="36E64758"/>
    <w:rsid w:val="379B37E3"/>
    <w:rsid w:val="38C01A16"/>
    <w:rsid w:val="3954080D"/>
    <w:rsid w:val="396240F3"/>
    <w:rsid w:val="3CA5741C"/>
    <w:rsid w:val="3D3D6F8A"/>
    <w:rsid w:val="3DD4189C"/>
    <w:rsid w:val="3DDA4289"/>
    <w:rsid w:val="3E803078"/>
    <w:rsid w:val="3ECD1814"/>
    <w:rsid w:val="3F7C4B67"/>
    <w:rsid w:val="3FE33E2D"/>
    <w:rsid w:val="3FF429D9"/>
    <w:rsid w:val="407529F3"/>
    <w:rsid w:val="41054F50"/>
    <w:rsid w:val="4212335D"/>
    <w:rsid w:val="42EC24E4"/>
    <w:rsid w:val="4309588E"/>
    <w:rsid w:val="430F7D82"/>
    <w:rsid w:val="443617F1"/>
    <w:rsid w:val="44EA26A4"/>
    <w:rsid w:val="4545109E"/>
    <w:rsid w:val="45971C8D"/>
    <w:rsid w:val="46855B79"/>
    <w:rsid w:val="46AB0037"/>
    <w:rsid w:val="47F8757D"/>
    <w:rsid w:val="487E5BD4"/>
    <w:rsid w:val="489C4B2F"/>
    <w:rsid w:val="48FE4402"/>
    <w:rsid w:val="49DE7D38"/>
    <w:rsid w:val="49E43FAC"/>
    <w:rsid w:val="49FC6805"/>
    <w:rsid w:val="4A0F3E5B"/>
    <w:rsid w:val="4C03053D"/>
    <w:rsid w:val="4C0D40E9"/>
    <w:rsid w:val="4D0F1913"/>
    <w:rsid w:val="4E04388A"/>
    <w:rsid w:val="4E6A7319"/>
    <w:rsid w:val="4F0B7451"/>
    <w:rsid w:val="4F7906CC"/>
    <w:rsid w:val="4FBD4BE9"/>
    <w:rsid w:val="500A7C1F"/>
    <w:rsid w:val="503D6037"/>
    <w:rsid w:val="516C329E"/>
    <w:rsid w:val="52382470"/>
    <w:rsid w:val="5454754E"/>
    <w:rsid w:val="55132E91"/>
    <w:rsid w:val="55C73070"/>
    <w:rsid w:val="56F81F2D"/>
    <w:rsid w:val="57DF7738"/>
    <w:rsid w:val="57EF3409"/>
    <w:rsid w:val="5AA34EB0"/>
    <w:rsid w:val="5AF32760"/>
    <w:rsid w:val="5C07480C"/>
    <w:rsid w:val="5D54019D"/>
    <w:rsid w:val="5DBC166D"/>
    <w:rsid w:val="5F3E6C4E"/>
    <w:rsid w:val="5F7A7422"/>
    <w:rsid w:val="5F9164C6"/>
    <w:rsid w:val="5FE43454"/>
    <w:rsid w:val="614E3C8A"/>
    <w:rsid w:val="617356B6"/>
    <w:rsid w:val="6178470D"/>
    <w:rsid w:val="61AD5C1A"/>
    <w:rsid w:val="622B5FA1"/>
    <w:rsid w:val="62574C49"/>
    <w:rsid w:val="6277403B"/>
    <w:rsid w:val="62EF64B1"/>
    <w:rsid w:val="636266DE"/>
    <w:rsid w:val="636D5C6E"/>
    <w:rsid w:val="63D1148D"/>
    <w:rsid w:val="6500577C"/>
    <w:rsid w:val="673B095E"/>
    <w:rsid w:val="674F3BC5"/>
    <w:rsid w:val="67E062C9"/>
    <w:rsid w:val="68587EB8"/>
    <w:rsid w:val="699C5FBF"/>
    <w:rsid w:val="6B086E3C"/>
    <w:rsid w:val="6B5D716B"/>
    <w:rsid w:val="6C9611B5"/>
    <w:rsid w:val="6DDD211E"/>
    <w:rsid w:val="6E5E6A52"/>
    <w:rsid w:val="6EB45A2B"/>
    <w:rsid w:val="6EEB1C9F"/>
    <w:rsid w:val="6F04405A"/>
    <w:rsid w:val="6F0E3651"/>
    <w:rsid w:val="6F290550"/>
    <w:rsid w:val="70E16F49"/>
    <w:rsid w:val="71917150"/>
    <w:rsid w:val="72731738"/>
    <w:rsid w:val="73231867"/>
    <w:rsid w:val="736C1247"/>
    <w:rsid w:val="745527AB"/>
    <w:rsid w:val="747043AB"/>
    <w:rsid w:val="74CB5BC5"/>
    <w:rsid w:val="74DA6AFD"/>
    <w:rsid w:val="7593124C"/>
    <w:rsid w:val="76BE626B"/>
    <w:rsid w:val="773A5EC7"/>
    <w:rsid w:val="77836CB4"/>
    <w:rsid w:val="77BA70E6"/>
    <w:rsid w:val="77BC1D1A"/>
    <w:rsid w:val="79E43F51"/>
    <w:rsid w:val="7AB46F33"/>
    <w:rsid w:val="7BD40020"/>
    <w:rsid w:val="7D091C83"/>
    <w:rsid w:val="7D3C40A4"/>
    <w:rsid w:val="7D4A2BDC"/>
    <w:rsid w:val="7E725E4F"/>
    <w:rsid w:val="7F561402"/>
    <w:rsid w:val="7F785AED"/>
    <w:rsid w:val="7F957832"/>
    <w:rsid w:val="7FF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9"/>
    <w:qFormat/>
    <w:uiPriority w:val="0"/>
    <w:pPr>
      <w:keepNext/>
      <w:keepLines/>
      <w:spacing w:before="340" w:after="330" w:line="576" w:lineRule="auto"/>
      <w:outlineLvl w:val="0"/>
    </w:pPr>
    <w:rPr>
      <w:b/>
      <w:kern w:val="44"/>
      <w:sz w:val="44"/>
    </w:rPr>
  </w:style>
  <w:style w:type="paragraph" w:styleId="3">
    <w:name w:val="heading 2"/>
    <w:basedOn w:val="1"/>
    <w:next w:val="1"/>
    <w:link w:val="3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jc w:val="left"/>
      <w:outlineLvl w:val="2"/>
    </w:pPr>
    <w:rPr>
      <w:rFonts w:ascii="黑体" w:hAnsi="黑体" w:eastAsia="黑体" w:cs="宋体"/>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toc 3"/>
    <w:basedOn w:val="1"/>
    <w:next w:val="1"/>
    <w:qFormat/>
    <w:uiPriority w:val="0"/>
    <w:pPr>
      <w:ind w:left="840" w:leftChars="400"/>
    </w:pPr>
  </w:style>
  <w:style w:type="paragraph" w:styleId="8">
    <w:name w:val="Plain Text"/>
    <w:basedOn w:val="1"/>
    <w:qFormat/>
    <w:uiPriority w:val="0"/>
    <w:pPr>
      <w:widowControl/>
      <w:spacing w:before="100" w:beforeAutospacing="1" w:after="100" w:afterAutospacing="1"/>
      <w:jc w:val="left"/>
    </w:pPr>
    <w:rPr>
      <w:rFonts w:ascii="宋体" w:hAnsi="宋体"/>
      <w:kern w:val="0"/>
      <w:sz w:val="24"/>
    </w:rPr>
  </w:style>
  <w:style w:type="paragraph" w:styleId="9">
    <w:name w:val="Balloon Text"/>
    <w:basedOn w:val="1"/>
    <w:link w:val="34"/>
    <w:qFormat/>
    <w:uiPriority w:val="0"/>
    <w:rPr>
      <w:sz w:val="18"/>
      <w:szCs w:val="18"/>
    </w:rPr>
  </w:style>
  <w:style w:type="paragraph" w:styleId="10">
    <w:name w:val="footer"/>
    <w:basedOn w:val="1"/>
    <w:link w:val="42"/>
    <w:qFormat/>
    <w:uiPriority w:val="99"/>
    <w:pPr>
      <w:tabs>
        <w:tab w:val="center" w:pos="4153"/>
        <w:tab w:val="right" w:pos="8306"/>
      </w:tabs>
      <w:snapToGrid w:val="0"/>
      <w:jc w:val="left"/>
    </w:pPr>
    <w:rPr>
      <w:sz w:val="18"/>
    </w:rPr>
  </w:style>
  <w:style w:type="paragraph" w:styleId="11">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Subtitle"/>
    <w:basedOn w:val="1"/>
    <w:next w:val="1"/>
    <w:link w:val="3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4">
    <w:name w:val="footnote text"/>
    <w:basedOn w:val="1"/>
    <w:semiHidden/>
    <w:unhideWhenUsed/>
    <w:qFormat/>
    <w:uiPriority w:val="99"/>
    <w:pPr>
      <w:snapToGrid w:val="0"/>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8">
    <w:name w:val="annotation subject"/>
    <w:basedOn w:val="5"/>
    <w:next w:val="5"/>
    <w:link w:val="36"/>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800080"/>
      <w:u w:val="single"/>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character" w:styleId="26">
    <w:name w:val="footnote reference"/>
    <w:semiHidden/>
    <w:unhideWhenUsed/>
    <w:qFormat/>
    <w:uiPriority w:val="99"/>
    <w:rPr>
      <w:vertAlign w:val="superscript"/>
    </w:rPr>
  </w:style>
  <w:style w:type="paragraph" w:styleId="27">
    <w:name w:val="List Paragraph"/>
    <w:basedOn w:val="1"/>
    <w:qFormat/>
    <w:uiPriority w:val="34"/>
    <w:pPr>
      <w:ind w:firstLine="420" w:firstLineChars="200"/>
    </w:pPr>
  </w:style>
  <w:style w:type="character" w:customStyle="1" w:styleId="28">
    <w:name w:val="标题 2 字符"/>
    <w:basedOn w:val="21"/>
    <w:qFormat/>
    <w:uiPriority w:val="0"/>
    <w:rPr>
      <w:rFonts w:ascii="Arial" w:hAnsi="Arial" w:eastAsia="黑体"/>
      <w:b/>
      <w:sz w:val="32"/>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副标题 字符"/>
    <w:basedOn w:val="21"/>
    <w:qFormat/>
    <w:uiPriority w:val="0"/>
    <w:rPr>
      <w:rFonts w:asciiTheme="majorHAnsi" w:hAnsiTheme="majorHAnsi" w:cstheme="majorBidi"/>
      <w:b/>
      <w:bCs/>
      <w:kern w:val="28"/>
      <w:sz w:val="32"/>
      <w:szCs w:val="32"/>
    </w:rPr>
  </w:style>
  <w:style w:type="character" w:customStyle="1" w:styleId="33">
    <w:name w:val="t1"/>
    <w:qFormat/>
    <w:uiPriority w:val="0"/>
    <w:rPr>
      <w:color w:val="000000"/>
      <w:sz w:val="21"/>
      <w:szCs w:val="21"/>
    </w:rPr>
  </w:style>
  <w:style w:type="character" w:customStyle="1" w:styleId="34">
    <w:name w:val="批注框文本 字符"/>
    <w:basedOn w:val="21"/>
    <w:link w:val="9"/>
    <w:qFormat/>
    <w:uiPriority w:val="0"/>
    <w:rPr>
      <w:rFonts w:asciiTheme="minorHAnsi" w:hAnsiTheme="minorHAnsi" w:eastAsiaTheme="minorEastAsia" w:cstheme="minorBidi"/>
      <w:kern w:val="2"/>
      <w:sz w:val="18"/>
      <w:szCs w:val="18"/>
    </w:rPr>
  </w:style>
  <w:style w:type="character" w:customStyle="1" w:styleId="35">
    <w:name w:val="批注文字 字符"/>
    <w:basedOn w:val="21"/>
    <w:link w:val="5"/>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18"/>
    <w:qFormat/>
    <w:uiPriority w:val="0"/>
    <w:rPr>
      <w:rFonts w:asciiTheme="minorHAnsi" w:hAnsiTheme="minorHAnsi" w:eastAsiaTheme="minorEastAsia" w:cstheme="minorBidi"/>
      <w:b/>
      <w:bCs/>
      <w:kern w:val="2"/>
      <w:sz w:val="21"/>
      <w:szCs w:val="24"/>
    </w:rPr>
  </w:style>
  <w:style w:type="character" w:customStyle="1" w:styleId="37">
    <w:name w:val="副标题 字符1"/>
    <w:basedOn w:val="21"/>
    <w:link w:val="13"/>
    <w:qFormat/>
    <w:uiPriority w:val="0"/>
    <w:rPr>
      <w:rFonts w:asciiTheme="majorHAnsi" w:hAnsiTheme="majorHAnsi" w:cstheme="majorBidi"/>
      <w:b/>
      <w:bCs/>
      <w:kern w:val="28"/>
      <w:sz w:val="32"/>
      <w:szCs w:val="32"/>
    </w:rPr>
  </w:style>
  <w:style w:type="character" w:customStyle="1" w:styleId="38">
    <w:name w:val="标题 2 字符1"/>
    <w:basedOn w:val="21"/>
    <w:link w:val="3"/>
    <w:qFormat/>
    <w:uiPriority w:val="0"/>
    <w:rPr>
      <w:rFonts w:ascii="黑体" w:hAnsi="黑体" w:eastAsia="黑体"/>
      <w:b/>
      <w:bCs/>
      <w:sz w:val="28"/>
      <w:szCs w:val="28"/>
    </w:rPr>
  </w:style>
  <w:style w:type="character" w:customStyle="1" w:styleId="39">
    <w:name w:val="标题 1 字符"/>
    <w:link w:val="2"/>
    <w:qFormat/>
    <w:uiPriority w:val="9"/>
    <w:rPr>
      <w:b/>
      <w:kern w:val="44"/>
      <w:sz w:val="44"/>
    </w:rPr>
  </w:style>
  <w:style w:type="paragraph" w:customStyle="1" w:styleId="40">
    <w:name w:val="列出段落1"/>
    <w:basedOn w:val="1"/>
    <w:qFormat/>
    <w:uiPriority w:val="34"/>
    <w:pPr>
      <w:ind w:firstLine="420" w:firstLineChars="200"/>
    </w:pPr>
    <w:rPr>
      <w:rFonts w:ascii="Calibri" w:hAnsi="Calibri" w:cs="宋体"/>
    </w:rPr>
  </w:style>
  <w:style w:type="character" w:customStyle="1" w:styleId="41">
    <w:name w:val="页眉 字符"/>
    <w:basedOn w:val="21"/>
    <w:link w:val="11"/>
    <w:qFormat/>
    <w:uiPriority w:val="99"/>
    <w:rPr>
      <w:rFonts w:asciiTheme="minorHAnsi" w:hAnsiTheme="minorHAnsi" w:eastAsiaTheme="minorEastAsia" w:cstheme="minorBidi"/>
      <w:kern w:val="2"/>
      <w:sz w:val="18"/>
      <w:szCs w:val="24"/>
    </w:rPr>
  </w:style>
  <w:style w:type="character" w:customStyle="1" w:styleId="42">
    <w:name w:val="页脚 字符"/>
    <w:basedOn w:val="21"/>
    <w:link w:val="10"/>
    <w:qFormat/>
    <w:uiPriority w:val="99"/>
    <w:rPr>
      <w:rFonts w:asciiTheme="minorHAnsi" w:hAnsiTheme="minorHAnsi" w:eastAsiaTheme="minorEastAsia" w:cstheme="minorBidi"/>
      <w:kern w:val="2"/>
      <w:sz w:val="18"/>
      <w:szCs w:val="24"/>
    </w:rPr>
  </w:style>
  <w:style w:type="paragraph" w:customStyle="1" w:styleId="43">
    <w:name w:val="00华工一级标题A1"/>
    <w:basedOn w:val="1"/>
    <w:next w:val="1"/>
    <w:uiPriority w:val="0"/>
    <w:pPr>
      <w:keepNext/>
      <w:keepLines/>
      <w:spacing w:before="100" w:beforeLines="100" w:after="100" w:afterLines="100" w:line="360" w:lineRule="auto"/>
      <w:jc w:val="center"/>
      <w:outlineLvl w:val="0"/>
    </w:pPr>
    <w:rPr>
      <w:rFonts w:hint="eastAsia" w:ascii="黑体" w:hAnsi="黑体" w:eastAsia="黑体" w:cs="黑体"/>
      <w:b/>
      <w:kern w:val="44"/>
      <w:sz w:val="36"/>
      <w:szCs w:val="36"/>
    </w:rPr>
  </w:style>
  <w:style w:type="paragraph" w:customStyle="1" w:styleId="44">
    <w:name w:val="00华工二级标题A2"/>
    <w:basedOn w:val="1"/>
    <w:next w:val="1"/>
    <w:uiPriority w:val="0"/>
    <w:pPr>
      <w:keepNext/>
      <w:keepLines/>
      <w:spacing w:before="50" w:beforeLines="50" w:after="163" w:line="360" w:lineRule="auto"/>
      <w:jc w:val="left"/>
      <w:outlineLvl w:val="1"/>
    </w:pPr>
    <w:rPr>
      <w:rFonts w:ascii="Times New Roman" w:hAnsi="Times New Roman" w:eastAsia="黑体" w:cs="Times New Roman"/>
      <w:b/>
      <w:color w:val="000000"/>
      <w:sz w:val="30"/>
      <w:szCs w:val="30"/>
    </w:rPr>
  </w:style>
  <w:style w:type="paragraph" w:customStyle="1" w:styleId="45">
    <w:name w:val="00华工三级标题A3"/>
    <w:basedOn w:val="1"/>
    <w:next w:val="1"/>
    <w:uiPriority w:val="0"/>
    <w:pPr>
      <w:keepNext/>
      <w:keepLines/>
      <w:spacing w:before="50" w:beforeLines="50" w:after="50" w:afterLines="50" w:line="360" w:lineRule="auto"/>
      <w:ind w:left="720" w:hanging="720"/>
      <w:jc w:val="left"/>
      <w:outlineLvl w:val="2"/>
    </w:pPr>
    <w:rPr>
      <w:rFonts w:ascii="Times New Roman" w:hAnsi="Times New Roman" w:eastAsia="黑体" w:cs="Times New Roman"/>
      <w:b/>
      <w:bCs/>
      <w:color w:val="000000"/>
      <w:sz w:val="28"/>
      <w:szCs w:val="28"/>
    </w:rPr>
  </w:style>
  <w:style w:type="paragraph" w:customStyle="1" w:styleId="46">
    <w:name w:val="00华工正文A1"/>
    <w:basedOn w:val="1"/>
    <w:uiPriority w:val="0"/>
    <w:pPr>
      <w:adjustRightInd w:val="0"/>
      <w:spacing w:line="360" w:lineRule="auto"/>
      <w:ind w:firstLine="480" w:firstLineChars="200"/>
      <w:jc w:val="left"/>
    </w:pPr>
    <w:rPr>
      <w:rFonts w:hint="eastAsia" w:ascii="宋体" w:hAnsi="宋体" w:cs="宋体"/>
      <w:sz w:val="24"/>
      <w:lang w:bidi="ar"/>
    </w:rPr>
  </w:style>
  <w:style w:type="paragraph" w:customStyle="1" w:styleId="47">
    <w:name w:val="华工图标题A1"/>
    <w:basedOn w:val="1"/>
    <w:uiPriority w:val="0"/>
    <w:pPr>
      <w:adjustRightInd w:val="0"/>
      <w:spacing w:line="360" w:lineRule="auto"/>
      <w:ind w:firstLine="315" w:firstLineChars="150"/>
      <w:jc w:val="center"/>
    </w:pPr>
    <w:rPr>
      <w:rFonts w:hint="eastAsia" w:ascii="宋体" w:hAnsi="宋体" w:cs="宋体"/>
      <w:szCs w:val="21"/>
      <w:lang w:bidi="ar"/>
    </w:rPr>
  </w:style>
  <w:style w:type="paragraph" w:customStyle="1" w:styleId="48">
    <w:name w:val="00华工表标题A1"/>
    <w:basedOn w:val="1"/>
    <w:uiPriority w:val="0"/>
    <w:pPr>
      <w:widowControl/>
      <w:adjustRightInd w:val="0"/>
      <w:spacing w:line="360" w:lineRule="auto"/>
      <w:jc w:val="center"/>
    </w:pPr>
    <w:rPr>
      <w:rFonts w:hint="eastAsia" w:ascii="宋体" w:hAnsi="宋体" w:cs="宋体"/>
      <w:szCs w:val="21"/>
    </w:rPr>
  </w:style>
  <w:style w:type="paragraph" w:customStyle="1" w:styleId="49">
    <w:name w:val="00华工参考文献A1"/>
    <w:basedOn w:val="1"/>
    <w:uiPriority w:val="0"/>
    <w:pPr>
      <w:numPr>
        <w:ilvl w:val="0"/>
        <w:numId w:val="1"/>
      </w:numPr>
      <w:spacing w:line="360" w:lineRule="auto"/>
      <w:ind w:left="420" w:hanging="420"/>
    </w:pPr>
    <w:rPr>
      <w:rFonts w:hint="default" w:asciiTheme="minorAscii" w:hAnsiTheme="minorAscii" w:cstheme="minor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5989</Words>
  <Characters>6994</Characters>
  <Lines>82</Lines>
  <Paragraphs>23</Paragraphs>
  <TotalTime>19</TotalTime>
  <ScaleCrop>false</ScaleCrop>
  <LinksUpToDate>false</LinksUpToDate>
  <CharactersWithSpaces>7598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2023-06-29T08:55:00Z</dcterms:created>
  <dc:creator>Administrator</dc:creator>
  <cp:lastModifiedBy>A王晰918hezu.com</cp:lastModifiedBy>
  <cp:lastPrinted>2022-07-13T03:44:00Z</cp:lastPrinted>
  <dcterms:modified xsi:type="dcterms:W3CDTF">2023-08-03T07:49:13Z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996CF952B04C431D89050ADDBE8963EF</vt:lpwstr>
  </property>
</Properties>
</file>